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3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项目名称：医用设备采购项目</w:t>
      </w:r>
      <w:r/>
    </w:p>
    <w:p>
      <w:pPr>
        <w:ind w:left="0" w:right="0" w:firstLine="0"/>
        <w:spacing w:before="120" w:after="12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项目编号：JSZC-320600-SHGK-G2025-0170</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采购人：南通市第一人民医院</w:t>
      </w:r>
      <w:r/>
    </w:p>
    <w:p>
      <w:pPr>
        <w:ind w:left="0" w:right="0" w:firstLine="0"/>
        <w:spacing w:before="120" w:after="12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采购代理机构：江苏苏豪创新科技集团高科有限公司</w:t>
      </w:r>
      <w:r/>
    </w:p>
    <w:p>
      <w:pPr>
        <w:ind w:left="0" w:right="0" w:firstLine="0"/>
        <w:spacing w:before="120" w:after="12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日期：2025年12月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1"/>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目 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15"/>
        </w:numPr>
        <w:jc w:val="both"/>
        <w:spacing w:before="240" w:after="0"/>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投标邀请</w:t>
      </w:r>
      <w:r/>
    </w:p>
    <w:p>
      <w:pPr>
        <w:numPr>
          <w:ilvl w:val="0"/>
          <w:numId w:val="15"/>
        </w:numPr>
        <w:jc w:val="both"/>
        <w:spacing w:before="240" w:after="0"/>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投标人须知</w:t>
      </w:r>
      <w:r/>
    </w:p>
    <w:p>
      <w:pPr>
        <w:numPr>
          <w:ilvl w:val="0"/>
          <w:numId w:val="15"/>
        </w:numPr>
        <w:jc w:val="both"/>
        <w:spacing w:before="240" w:after="0"/>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合同文本</w:t>
      </w:r>
      <w:r/>
    </w:p>
    <w:p>
      <w:pPr>
        <w:numPr>
          <w:ilvl w:val="0"/>
          <w:numId w:val="15"/>
        </w:numPr>
        <w:jc w:val="both"/>
        <w:spacing w:before="240" w:after="0"/>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numPr>
          <w:ilvl w:val="0"/>
          <w:numId w:val="15"/>
        </w:numPr>
        <w:jc w:val="both"/>
        <w:spacing w:before="240" w:after="0"/>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评标方法与评标标准</w:t>
      </w:r>
      <w:r/>
    </w:p>
    <w:p>
      <w:pPr>
        <w:numPr>
          <w:ilvl w:val="0"/>
          <w:numId w:val="15"/>
        </w:numPr>
        <w:jc w:val="both"/>
        <w:spacing w:before="240" w:after="0"/>
        <w:tabs>
          <w:tab w:val="left" w:pos="1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投标文件格式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721"/>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第一章 投标邀请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受[南通市第一人民医院]的委托，江苏苏豪创新科技集团高科有限公司就[医用设备采购项目]([JSZC-320600-SHGK-G2025-0170])项目进行公开招标采购，欢迎符合条件的供应商投标。</w:t>
      </w:r>
      <w:r/>
    </w:p>
    <w:p>
      <w:pPr>
        <w:ind w:left="0" w:right="0" w:firstLine="56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南通市第一人民医院医用设备采购项目招标项目的潜在投标人可在</w:t>
      </w:r>
      <w:r>
        <w:rPr>
          <w:rFonts w:ascii="FangSong" w:hAnsi="FangSong" w:eastAsia="FangSong" w:cs="FangSong"/>
          <w:color w:val="000000"/>
          <w:sz w:val="28"/>
          <w:u w:val="single"/>
        </w:rPr>
        <w:t xml:space="preserve">“江苏政府采购网”自行免费下载</w:t>
      </w:r>
      <w:r>
        <w:rPr>
          <w:rFonts w:ascii="FangSong" w:hAnsi="FangSong" w:eastAsia="FangSong" w:cs="FangSong"/>
          <w:color w:val="000000"/>
          <w:sz w:val="28"/>
        </w:rPr>
        <w:t xml:space="preserve">招标文件，并于</w:t>
      </w:r>
      <w:r>
        <w:rPr>
          <w:rFonts w:ascii="FangSong" w:hAnsi="FangSong" w:eastAsia="FangSong" w:cs="FangSong"/>
          <w:color w:val="000000"/>
          <w:sz w:val="28"/>
          <w:u w:val="single"/>
        </w:rPr>
        <w:t xml:space="preserve">2025年12月23日14时00分（北京时间）</w:t>
      </w:r>
      <w:r>
        <w:rPr>
          <w:rFonts w:ascii="FangSong" w:hAnsi="FangSong" w:eastAsia="FangSong" w:cs="FangSong"/>
          <w:color w:val="000000"/>
          <w:sz w:val="28"/>
        </w:rPr>
        <w:t xml:space="preserve">前递交投标文件。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1.项目编号：JSZC-320600-SHGK-G2025-0170</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2.项目名称：南通市第一人民医院医用设备采购项目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3.预算金额：人民币304万元</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4.最高限价：人民币304万元</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3"/>
        <w:gridCol w:w="3123"/>
        <w:gridCol w:w="709"/>
        <w:gridCol w:w="1700"/>
        <w:gridCol w:w="2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CRRT血滤机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64万元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超声检查仪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不接受</w:t>
            </w:r>
            <w:r/>
          </w:p>
        </w:tc>
      </w:tr>
    </w:tbl>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5.合同履行期限：合同签订后30日内</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（一）通用资格要求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3.本项目不接受联合体投标。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4.本项目不接受转包、分包。</w:t>
      </w:r>
      <w:r/>
    </w:p>
    <w:p>
      <w:pPr>
        <w:ind w:left="0" w:right="0" w:firstLine="56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（二）落实政府采购政策需满足的资格要求：本项目非专门面向中小企业采购。对符合条件的小型和微型企业、残疾人福利性单位、监狱企业产品给予10%的价格扣除，用扣除后的价格参与评审。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w:t>
      </w:r>
      <w:r>
        <w:rPr>
          <w:rFonts w:ascii="FangSong" w:hAnsi="FangSong" w:eastAsia="FangSong" w:cs="FangSong"/>
          <w:color w:val="000000"/>
          <w:sz w:val="28"/>
        </w:rPr>
        <w:t xml:space="preserve">投标产品如果属于医疗设备注册/备案范畴的；投标人须根据投标产品的类别，提供有效期内的《医疗器械经营许可证》或者《医疗器械经营备案凭证》（复印件）；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2．投标产品如果属于医疗设备注册/备案范畴的；投标人须提供投标产品的有效期内的《医疗器械注册证》或者备案凭证（复印件）；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1.时间：自招标文件公告发布之日起5个工作日。</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2.方式：在“江苏政府采购网”自行免费下载招标文件。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000000"/>
          <w:sz w:val="28"/>
          <w:u w:val="single"/>
        </w:rPr>
        <w:t xml:space="preserve">2025年12月23日14时00分（北京时间）</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招标公告及招标文件公告期限为自本公告发布之日起5个工作日。</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1.投标保证金：免收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2.履约保证金：免收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3.项目演示、样品、答辩等：无。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系统操作过程中如遇问题，请致电“苏采云”客服0519-86722801。</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5.有关本次招标的事项若存在变动或修改，均以江苏政府采购网发布的更正或补充通知为准，敬请及时关注。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 “苏采云”系统使用相关提醒</w:t>
      </w:r>
      <w:r/>
    </w:p>
    <w:p>
      <w:pPr>
        <w:ind w:left="0" w:right="0" w:firstLine="5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FangSong" w:hAnsi="FangSong" w:eastAsia="FangSong" w:cs="FangSong"/>
          <w:b/>
          <w:color w:val="000000"/>
          <w:sz w:val="28"/>
        </w:rPr>
        <w:t xml:space="preserve">具体办理指南和操作手册见链接：http://www.ccgp-jiangsu.gov.cn/jiangsu/zlxz/ee/ee3a4bc5a3454aa2b0d9312230633ce9.html。</w:t>
      </w:r>
      <w:r/>
    </w:p>
    <w:p>
      <w:pPr>
        <w:ind w:left="0" w:right="0" w:firstLine="560"/>
        <w:jc w:val="both"/>
        <w:spacing w:before="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7.2领取CA和办理电子签章请至南通市政务服务中心裙楼四楼（南通市公共资源交易中心）CA办理窗口办理，详见《江苏省政府采购数字证书(供应商)</w:t>
      </w:r>
      <w:r>
        <w:rPr>
          <w:rFonts w:ascii="SimSun" w:hAnsi="SimSun" w:eastAsia="SimSun" w:cs="SimSun"/>
          <w:color w:val="000000"/>
          <w:sz w:val="28"/>
        </w:rPr>
        <w:t xml:space="preserve"> </w:t>
      </w:r>
      <w:r>
        <w:rPr>
          <w:rFonts w:ascii="FangSong" w:hAnsi="FangSong" w:eastAsia="FangSong" w:cs="FangSong"/>
          <w:color w:val="000000"/>
          <w:sz w:val="28"/>
        </w:rPr>
        <w:t xml:space="preserve">CA及电子签章办理指南》），请及时进行注册并按要求制作、上传电子投标文件。</w:t>
      </w:r>
      <w:r/>
    </w:p>
    <w:p>
      <w:pPr>
        <w:ind w:left="0" w:right="0" w:firstLine="560"/>
        <w:jc w:val="both"/>
        <w:spacing w:before="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w:t>
      </w:r>
      <w:r>
        <w:rPr>
          <w:rFonts w:ascii="FangSong" w:hAnsi="FangSong" w:eastAsia="FangSong" w:cs="FangSong"/>
          <w:color w:val="000000"/>
          <w:sz w:val="28"/>
        </w:rPr>
        <w:t xml:space="preserve">件，截止后下载采购文件，视为非有效参与方式且不做为供应商权益收到损害的证明材料和依据。</w:t>
      </w:r>
      <w:r/>
    </w:p>
    <w:p>
      <w:pPr>
        <w:ind w:left="0" w:right="0" w:firstLine="562"/>
        <w:jc w:val="both"/>
        <w:spacing w:before="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7.4</w:t>
      </w:r>
      <w:r>
        <w:rPr>
          <w:rFonts w:ascii="FangSong" w:hAnsi="FangSong" w:eastAsia="FangSong" w:cs="FangSong"/>
          <w:color w:val="000000"/>
          <w:sz w:val="28"/>
        </w:rPr>
        <w:t xml:space="preserve">开标当天投标供应商应及时登录“苏采云”不见面开标大厅，并在规定时间内自行实施远程解密。</w:t>
      </w:r>
      <w:r>
        <w:rPr>
          <w:rFonts w:ascii="FangSong" w:hAnsi="FangSong" w:eastAsia="FangSong" w:cs="FangSong"/>
          <w:b/>
          <w:color w:val="000000"/>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FangSong" w:hAnsi="FangSong" w:eastAsia="FangSong" w:cs="FangSong"/>
          <w:color w:val="000000"/>
          <w:sz w:val="28"/>
        </w:rPr>
        <w:t xml:space="preserve">因采购人原因或网上招投标平台发生故障，导致无法按时完成响应文件解密或开、评标工作无法进行的，可根据实际情况相应延迟解密时间或调整开、评标时间。</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称：南通市第一人民医院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址：南通市崇川区胜利路666号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联系人：黄老师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联系方式：0513-81111076</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称：江苏苏豪创新科技集团高科有限公司</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址：南京市雨花台区软件大道21号苏豪集团C座110室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联系方式：025-52875983</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项目联系人：吴志叶、吴岢非</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联系方式：025-52875936、025-52875983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721"/>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第二章  投标人须知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1.招标方式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本次招标采取公开招标方式，本招标文件仅适用于招标公告中所述项目。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2.1满足招标公告中供应商的资格要求的规定。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满足本文件实质性条款的规定。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本次招标及由此产生的合同受中华人民共和国有关的法律法规制约和保护。</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投标人应自行承担所有与参加投标有关的费用，无论投标过程中的做法和结果如何，江苏苏豪创新科技集团高科有限公司（以下简称代理机构）在任何情况下均无义务和责任承担这些费用。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4.2本次招标代理机构和采购人不收取标书工本费。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4.3中标人向采购代理机构支付招标服务费，服务费按计价格〔2002〕1980号《招标代理服务收费管理暂行办法》货物类的66%计取。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开户名：江苏苏豪创新科技集团高科有限公司</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开户行：工行南京市白下支行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号：4301013119100888895</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二、招标文件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招标文件由以下部分组成：</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（1）投标邀请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（3）合同文本</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（4）采购需求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（5）评标方法与评标标准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（6）投标文件格式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请仔细检查招标文件是否齐全，如有缺漏请立即与代理机构联系解决。</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任何要求对招标文件进行澄清的投标人，应在投标截止期</w:t>
      </w:r>
      <w:r>
        <w:rPr>
          <w:rFonts w:ascii="FangSong" w:hAnsi="FangSong" w:eastAsia="FangSong" w:cs="FangSong"/>
          <w:b/>
          <w:color w:val="000000"/>
          <w:sz w:val="28"/>
        </w:rPr>
        <w:t xml:space="preserve">十日</w:t>
      </w:r>
      <w:r>
        <w:rPr>
          <w:rFonts w:ascii="FangSong" w:hAnsi="FangSong" w:eastAsia="FangSong" w:cs="FangSong"/>
          <w:color w:val="000000"/>
          <w:sz w:val="28"/>
        </w:rPr>
        <w:t xml:space="preserve">前按招标公告中的通讯地址，以书面形式通知代理机构。采购人有权对发出的招标文件进行必要的澄清或修改。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8、招标文件的修改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在投标截止时间前，代理机构可以对招标文件进行修改。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代理机构有权按照法定的要求推迟投标截止日期和开标日期。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招标文件的修改将在江苏政府采购网公布，补充文件将作为招标文件的组成部分，并对投标人具有约束力。</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三、投标文件的编制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投标人提交的投标文件以及投标人与代理机构就有关投标的所有来往通知、函件和文件均应使用简体中文。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除技术性能另有规定外，投标文件所使用的度量衡单位，均须采用国家法定计量单位。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投标人编写的投标文件应包括资格证明文件、实质性要求响应及偏离表、投标分项报价表、技术要求响应及偏离表、商务要求响应及偏离表、其他证明文件、投标函、开标一览表等部分。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如标书制作工具中格式和内容与“江苏政府采购网”发布的招标文件不一致，请以“江苏政府采购网”发布的招标文件为准。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投标人应按照招标文件要求提交证明文件，证明其及投标标的符合招标文件规定。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11.2招标文件对证明文件无明确形式要求的，证明文件可以以文字资料、图纸和数据等形式提交。</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12、投标分项报价表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投标人按照招标文件规定格式填报投标分项报价表。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12.2投标货币。投标文件中的单价和总价无特殊规定的采用人民币报价，以元为单位标注。招标文件中另有规定的按规定执行。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13.1投标人需对招标文件中的技术要求与商务要求逐项作出响应或偏离，并说明原因。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13.2投标人需按照招标文件要求，在投标文件中提供与技术要求和商务要求相关的证明材料。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14、服务承诺、培训计划、人员安排及其他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投标人需根据招标文件要求提供有关售后服务的管理制度，售后服务机构的分布情况，售后服务人员的数量、素质、技术水平及售后服务的反应能力等。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投标人需根据招标文件要求提供培训计划。</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  投标人需根据招标文件要求提供所投标的的主要组成部分、功能设计、实现思路及关键技术等。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15、投标函和开标一览表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投标人应按照招标文件中提供的格式完整、正确填写投标函、开标一览表。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w:t>
      </w:r>
      <w:r>
        <w:rPr>
          <w:rFonts w:ascii="FangSong" w:hAnsi="FangSong" w:eastAsia="FangSong" w:cs="FangSong"/>
          <w:b/>
          <w:color w:val="000000"/>
          <w:sz w:val="28"/>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16.1投标有效期为代理机构规定的开标之日后</w:t>
      </w:r>
      <w:r>
        <w:rPr>
          <w:rFonts w:ascii="FangSong" w:hAnsi="FangSong" w:eastAsia="FangSong" w:cs="FangSong"/>
          <w:b/>
          <w:color w:val="000000"/>
          <w:sz w:val="28"/>
          <w:u w:val="single"/>
        </w:rPr>
        <w:t xml:space="preserve">九十（90）天</w:t>
      </w:r>
      <w:r>
        <w:rPr>
          <w:rFonts w:ascii="FangSong" w:hAnsi="FangSong" w:eastAsia="FangSong" w:cs="FangSong"/>
          <w:color w:val="000000"/>
          <w:sz w:val="28"/>
        </w:rPr>
        <w:t xml:space="preserve">。投标有效期比规定短的将被视为未实质性响应招标文件而予以拒绝。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17、投标有效期的延长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四、投标文件的递交</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18、电子投标文件的递交</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18.1投标人应当按照《操作手册》规定，在投标截止时间前制作并上传电子投标文件。</w:t>
      </w:r>
      <w:r/>
    </w:p>
    <w:p>
      <w:pPr>
        <w:ind w:left="0" w:right="0" w:firstLine="0"/>
        <w:jc w:val="both"/>
        <w:spacing w:before="280" w:after="29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19、投标截止日期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19.1 投标人上传电子投标文件的时间不得迟于招标公告中规定的投标截止时间。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投标人应充分考虑到网络环境、网络带宽等风险因素，如因投标人自身原因造成电子投标文件上传不成功的，按照本招标文件第二章第27.1.2条规定做无效投标处理。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19.2代理机构可以按照规定，通过修改招标文件酌情延长投标截止日期，在此情况下，投标人的所有权利和义务以及投标人受制的截止日期均应以延长后新的截止日期为准。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20、投标文件的拒收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代理机构拒绝接收在其规定的投标截止时间后上传的任何投标文件。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21、投标文件的撤回和修改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投标文件的撤回</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21.1.1 电子投标文件的撤回</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21.1.2 投标人撤回电子投标文件，则认为其不再参与本项目投标活动。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 投标文件的修改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21.2.1投标人可在投标截止时间前，对其电子投标文件进行修改，具体操作方法见《操作手册》。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21.2.2 在投标截止时间之后，投标人不得对其电子投标文件作任何修改。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 在投标截止时间至招标文件中规定的投标有效期满之间的这段时间内，投标人不得撤回其投标。</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五、开标与评标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22、开标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22.1代理机构将在招标公告中规定的时间和地点组织公开开标。投标人应当按照《操作手册》规定，参加开标活动和在苏采云系统规定的时间内对投标文件进行解密。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22.2开标仪式由代理机构组织。苏采云系统将自动对项目进行开标，并宣布各投标人名称和投标价格。</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22.3投标人在开标过程中涉及到的投标文件解密、开标结果确认等工作，应按照《操作手册》规定执行。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22.4投标人如果对开标过程和开标记录有疑义，应当根据《操作手册》规定提出，如苏采云系统中《开标记录表》宣布后5分钟内未提出的，视同认可开标结果。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23.1开标后，代理机构将立即组织评标委员会（以下简称评委会）进行评标。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23.3评委会独立工作，负责评审所有投标文件并确定中标候选人。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24．评标过程的保密与公正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24.1凡是与审查、澄清、评价和比较投标的有关资料以及授标建议等，采购人、评委、代理机构均不得向投标人或与评标无关的其他人员透露。</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24.2在评标过程中，投标人不得以任何行为影响评标过程，否则其投标文件将被作为无效投标文件。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24.3代理机构和评标委员会不向未中标的投标人解释未中标原因，也不公布评标过程中的相关细节。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24.4 采用综合评分法的项目，未中标的投标人可于中标结果公告期限届满之日起通过苏采云系统查看自己的评审得分及排序情况。</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25．投标文件的澄清</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25.1评标期间，评委会对投标文件中含义不明确、同类问题表述不一致或者有明显文字和计算错误的内容，有权要求投标人作出必要的澄清、说明或者补正。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评标委员会并非对每个投标人都做澄清要求。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 接到评委会澄清、说明和补正要求的投标人如未按规定做出澄清、说明和补正，其风险由投标人自行承担。</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26、对投标文件的初审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26.1投标文件初审分为资格审查和符合性审查。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26.1.1 资格审查：依据法律法规和招标文件的规定，由采购人对投标文件中的资格证明文件进行审查。资格审查的结论，采购人以书面形式向评委会进行反馈。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符合性审查：依据招标文件的规定，由评委会从投标文件的有效性、完整性和对招标文件的响应程度进行审查，以确定是否对招标文件的实质性要求作出响应。</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26.3如果投标文件实质上没有响应招标文件的要求，评委会将予以拒绝，投标人不得通过修改或撤销不合要求的偏离或保留而使其投标成为实质性响应的投标。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26.4评委会将对确定为实质性响应的投标进行进一步审核，看其是否有计算上或累加上的算术错误，修正错误的原则如下：</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26.7投标人在开、评标全过程中应保持通讯畅通，及时登录苏采云系统查阅、答复相关信息，并安排专人与代理机构及评标委员会联系。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27、无效投标条款和废标条款</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27.1无效投标条款</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 投标人在苏采云系统规定的时间内未成功解密电子投标文件的。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27.1.2 投标人未按照招标文件要求上传电子投标文件的。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27.1.3投标人同一分包提交两个（含两个）以上不同的投标报价的。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27.1.4投标人不具备招标文件中规定资格要求的。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27.1.5投标人的报价超过了采购预算或最高限价的。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27.1.6未通过符合性审查的。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27.1.7不符合招标文件中规定的实质性要求的（详见本招标文件第四章采购需求中标有“★”的技术要求及相关商务要求）。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27.1.9  投标文件含有采购人不能接受的附加条件的。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27.1.10</w:t>
      </w:r>
      <w:r>
        <w:rPr>
          <w:rFonts w:ascii="FangSong" w:hAnsi="FangSong" w:eastAsia="FangSong" w:cs="FangSong"/>
          <w:color w:val="ff0000"/>
          <w:sz w:val="28"/>
        </w:rPr>
        <w:t xml:space="preserve">评审过程中出现下列情形之一的，评审委员会应当启动异常低价投标（响应）审查程序：（1）投标（响应）报价低于采购项目预算50% 的，即投标（响应）报价＜采购项目预算×50% ；（2）投标（响应）报价低于采购项目最高限价45% 的，即投标（响应）报价＜采购项目最高限价×45% ；（3）评审委员会认定的供应商报价过低、有可能影响产品质量或者不能诚信履约的其他情形。</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27.1.12 投标文件未按照招标文件要求加盖CA电子公章的。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27.1.13其他法律、法规及本招标文件规定的属无效投标的情形。</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27.1.14投标人的商务技术部分得分相差异常悬殊，评标委员会一致认为得分畸低者有可能影响产品质量或者不能诚信履约的。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27.2废标条款</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27.2.1符合专业条件的供应商或者对招标文件作实质响应的供应商不足三家的。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27.2.2出现影响采购公正的违法、违规行为的。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27.2.3因重大变故，采购任务取消的。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27.2.4评标委员会认定招标文件存在歧义、重大缺陷导致评审工作无法进行。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27.2.5 因苏采云系统系统故障原因造成开标不成功的。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投标截止时间结束后参加投标的供应商不足三家的处理：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28、确定中标单位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28.1中标候选人的选取原则和数量见招标文件第五章规定。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 采购人应根据评委会推荐的中标候选人确定中标人。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 代理机构将在“江苏政府采购网”发布中标公告，公告期限为1个工作日。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若有充分证据证明，中标人出现下列情况之一的，一经查实，将被取消中标资格：</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28.4.1提供虚假材料谋取中标的。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28.4.2向采购人、代理机构行贿或者提供其他不正当利益的。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28.4.3属于本文件规定的无效条件，但在评标过程中又未被评委会发现的。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28.4.4与采购人或者其他供应商恶意串通的。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28.4.5采取不正当手段诋毁、排挤其他供应商的。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有下列情形之一的，视为投标人串通投标，投标无效：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28.5.1不同投标人的投标文件由同一单位或者个人编制；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28.5.2不同投标人委托同一单位或者个人办理投标事宜；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28.5.3 不同投标人的投标文件载明的项目管理成员或者联系人员为同一人；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28.5.4不同投标人的投标文件异常一致或者投标报价呈规律性差异；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29、质疑处理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29.1 提出质疑的供应商应当是参与所质疑项目采购活动的供应商。潜在供应商依法获取其可质疑的采购文件的，可以对采购文件提出质疑。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采购人及代理机构只接收以纸质原件形式送达的质疑,建议供应商尽量通过邮寄方式提交质疑（采购人和代理机构不接受无快递运单号的快递）。</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 以下情形的质疑不予受理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29.5.1 内容不符合《政府采购质疑和投诉办法》第十二条规定的质疑。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29.5.2 超出政府采购法定期限的质疑。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29.5.3 以传真、电子邮件等方式递交的非原件形式的质疑。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29.5.4 未参加投标活动的供应商或在投标活动中自身权益未受到损害的供应商所提出的质疑。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29.5.5供应商组成联合体参加投标，联合体中任何一方或多方未按要求签字、盖章、加盖公章的质疑。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30、中标通知书</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七、授予合同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签订合同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31.l中标人应当在中标通知书发出之日起三十日内，按照招标文件确定的事项与采购人签订政府采购合同。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31.2招标文件、中标人的投标文件及招标过程中有关澄清、承诺文件均应作为合同附件。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31.3 签订合同后，</w:t>
      </w:r>
      <w:r>
        <w:rPr>
          <w:rFonts w:ascii="FangSong" w:hAnsi="FangSong" w:eastAsia="FangSong" w:cs="FangSong"/>
          <w:color w:val="000000"/>
          <w:sz w:val="28"/>
          <w:u w:val="single"/>
        </w:rPr>
        <w:t xml:space="preserve">中标人不得将合同标的进行转包</w:t>
      </w:r>
      <w:r>
        <w:rPr>
          <w:rFonts w:ascii="FangSong" w:hAnsi="FangSong" w:eastAsia="FangSong" w:cs="FangSong"/>
          <w:color w:val="000000"/>
          <w:sz w:val="28"/>
        </w:rPr>
        <w:t xml:space="preserve">。未经采购人同意，中标人也不得采用分包的形式履行合同，否则采购人有权终止合同。转包或分包造成采购人损失的，中标人应承担相应赔偿责任。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32、货物（包含与货物相关的服务）的追加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33、政府采购履约资金扶持政策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1"/>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  合同文本</w:t>
      </w:r>
      <w:r/>
    </w:p>
    <w:p>
      <w:pPr>
        <w:pStyle w:val="722"/>
        <w:ind w:left="0" w:right="0" w:firstLine="0"/>
        <w:jc w:val="center"/>
        <w:spacing w:before="36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医疗设备合同</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甲方：南通市第一人民医院</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项目编号：</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rPr>
          <w:rFonts w:ascii="SimSun" w:hAnsi="SimSun" w:eastAsia="SimSun" w:cs="SimSun"/>
          <w:color w:val="000000"/>
          <w:sz w:val="24"/>
        </w:rPr>
        <w:t xml:space="preserve">甲乙双方根据《中华人民共和国民法典》的相关规定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在平等互利、协商一致的基础上，就乙方销售给甲方设备，特订立本合同。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一、设备名称、型号、数量和价格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7"/>
        <w:gridCol w:w="3071"/>
        <w:gridCol w:w="767"/>
        <w:gridCol w:w="3068"/>
        <w:gridCol w:w="383"/>
        <w:gridCol w:w="512"/>
        <w:gridCol w:w="512"/>
        <w:gridCol w:w="6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成交总价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总计（大写）：人民币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二、设备详细配置清单、售后服务承诺书见附件。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三、付款方式：设备安装、调试、验收合格后凭验收合格报告三个月付设备货款</w:t>
      </w:r>
      <w:r>
        <w:rPr>
          <w:rFonts w:ascii="Times New Roman" w:hAnsi="Times New Roman" w:eastAsia="Times New Roman" w:cs="Times New Roman"/>
          <w:b/>
          <w:color w:val="000000"/>
          <w:sz w:val="24"/>
          <w:u w:val="single"/>
        </w:rPr>
        <w:t xml:space="preserve"> 90 %</w:t>
      </w:r>
      <w:r>
        <w:rPr>
          <w:rFonts w:ascii="SimSun" w:hAnsi="SimSun" w:eastAsia="SimSun" w:cs="SimSun"/>
          <w:color w:val="000000"/>
          <w:sz w:val="24"/>
        </w:rPr>
        <w:t xml:space="preserve">计人民币</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验收合格后一年期满无质量问题付清余款</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。成交总价已经含税，甲方要求乙方应当在付款前提交正式税务发票。否则，甲方有权拒绝付款。</w:t>
      </w:r>
      <w:r/>
    </w:p>
    <w:p>
      <w:pPr>
        <w:numPr>
          <w:ilvl w:val="0"/>
          <w:numId w:val="1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交货期：乙方在合同生效之日起</w:t>
      </w:r>
      <w:r>
        <w:rPr>
          <w:rFonts w:ascii="Times New Roman" w:hAnsi="Times New Roman" w:eastAsia="Times New Roman" w:cs="Times New Roman"/>
          <w:b/>
          <w:color w:val="000000"/>
          <w:sz w:val="24"/>
          <w:u w:val="single"/>
        </w:rPr>
        <w:t xml:space="preserve">   </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天</w:t>
      </w:r>
      <w:r>
        <w:rPr>
          <w:rFonts w:ascii="SimSun" w:hAnsi="SimSun" w:eastAsia="SimSun" w:cs="SimSun"/>
          <w:color w:val="000000"/>
          <w:sz w:val="24"/>
        </w:rPr>
        <w:t xml:space="preserve">内将设备运抵甲方指定地点。</w:t>
      </w:r>
      <w:r/>
    </w:p>
    <w:p>
      <w:pPr>
        <w:numPr>
          <w:ilvl w:val="0"/>
          <w:numId w:val="1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交货地点：南通市第一人民医院内甲方指定地点。</w:t>
      </w:r>
      <w:r/>
    </w:p>
    <w:p>
      <w:pPr>
        <w:numPr>
          <w:ilvl w:val="0"/>
          <w:numId w:val="1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质保期：上述设备免费保修</w:t>
      </w:r>
      <w:r>
        <w:rPr>
          <w:rFonts w:ascii="Times New Roman" w:hAnsi="Times New Roman" w:eastAsia="Times New Roman" w:cs="Times New Roman"/>
          <w:b/>
          <w:color w:val="000000"/>
          <w:sz w:val="24"/>
          <w:u w:val="single"/>
        </w:rPr>
        <w:t xml:space="preserve">   </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年</w:t>
      </w:r>
      <w:r>
        <w:rPr>
          <w:rFonts w:ascii="SimSun" w:hAnsi="SimSun" w:eastAsia="SimSun" w:cs="SimSun"/>
          <w:color w:val="000000"/>
          <w:sz w:val="24"/>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1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资质、质量要求及技术标准：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．特别提醒条款：</w:t>
      </w: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、所提供医疗器械产品注册证必须真实有效；</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、所提供设备上的中文品名、型号及产品说明书所注适用范围必须与医疗器械产品注册证所标明的完全一致；</w:t>
      </w:r>
      <w:r>
        <w:rPr>
          <w:rFonts w:ascii="Times New Roman" w:hAnsi="Times New Roman" w:eastAsia="Times New Roman" w:cs="Times New Roman"/>
          <w:b/>
          <w:color w:val="000000"/>
          <w:sz w:val="24"/>
        </w:rPr>
        <w:t xml:space="preserve">c</w:t>
      </w:r>
      <w:r>
        <w:rPr>
          <w:rFonts w:ascii="SimSun" w:hAnsi="SimSun" w:eastAsia="SimSun" w:cs="SimSun"/>
          <w:b/>
          <w:color w:val="000000"/>
          <w:sz w:val="24"/>
        </w:rPr>
        <w:t xml:space="preserve">、国产医疗设备上的铭牌必须标注医疗器械注册证号。</w:t>
      </w:r>
      <w:r>
        <w:rPr>
          <w:rFonts w:ascii="Times New Roman" w:hAnsi="Times New Roman" w:eastAsia="Times New Roman" w:cs="Times New Roman"/>
          <w:b/>
          <w:color w:val="000000"/>
          <w:sz w:val="24"/>
        </w:rPr>
        <w:t xml:space="preserve">d</w:t>
      </w:r>
      <w:r>
        <w:rPr>
          <w:rFonts w:ascii="SimSun" w:hAnsi="SimSun" w:eastAsia="SimSun" w:cs="SimSun"/>
          <w:b/>
          <w:color w:val="000000"/>
          <w:sz w:val="24"/>
        </w:rPr>
        <w:t xml:space="preserve">、发票上所列品名与型号必须与合同所列品名与型号完全一致；</w:t>
      </w:r>
      <w:r>
        <w:rPr>
          <w:rFonts w:ascii="Times New Roman" w:hAnsi="Times New Roman" w:eastAsia="Times New Roman" w:cs="Times New Roman"/>
          <w:b/>
          <w:color w:val="000000"/>
          <w:sz w:val="24"/>
        </w:rPr>
        <w:t xml:space="preserve">e</w:t>
      </w:r>
      <w:r>
        <w:rPr>
          <w:rFonts w:ascii="SimSun" w:hAnsi="SimSun" w:eastAsia="SimSun" w:cs="SimSun"/>
          <w:b/>
          <w:color w:val="000000"/>
          <w:sz w:val="24"/>
        </w:rPr>
        <w:t xml:space="preserve">、甲方所购设备及设备相关应用软件享有应用软件使用权，操作系统及数据库完善和稳定升级，新增功能软件除外。</w:t>
      </w:r>
      <w:r>
        <w:rPr>
          <w:rFonts w:ascii="Times New Roman" w:hAnsi="Times New Roman" w:eastAsia="Times New Roman" w:cs="Times New Roman"/>
          <w:b/>
          <w:color w:val="000000"/>
          <w:sz w:val="24"/>
        </w:rPr>
        <w:t xml:space="preserve">f</w:t>
      </w:r>
      <w:r>
        <w:rPr>
          <w:rFonts w:ascii="SimSun" w:hAnsi="SimSun" w:eastAsia="SimSun" w:cs="SimSun"/>
          <w:b/>
          <w:color w:val="000000"/>
          <w:sz w:val="24"/>
        </w:rPr>
        <w:t xml:space="preserve">、其他未提及事项必须符合国家食品药品监督管理局的相关规定。以上条款必须满足，否则由此引起的一切责任由乙方负责。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．乙方保证向甲方提供的设备满足中国国家标准或相关行业标准。根据国家规定，如需要提供相关认证证书和标记的设备及有关配置，必须提供上述证书和标记。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．乙方保证所供设备型号是最新的技术成熟之产品，且是用上等材料和工艺制成，并严格保持原包装，使用安全可靠，否则造成的一切损失由乙方负全部责任。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．乙方所供设备如验收不合格，根据甲方的要求，乙方必须无条件换货或退货，由此引起的一切损失由乙方承担。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甲方如遭受第三方纠纷或起诉，乙方应当采取措施补救，并对甲方遭受的名誉受损等实际损失承担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乙方保证所交付的货物（包含与货物相关的服务）的所有权完全属于乙方且无任何抵押、查封等产权瑕疵。</w:t>
      </w:r>
      <w:r/>
    </w:p>
    <w:p>
      <w:pPr>
        <w:numPr>
          <w:ilvl w:val="0"/>
          <w:numId w:val="1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设备到货、安装和验收要求：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．乙方确保设备安全无损地运抵甲方指定现场，并承担设备的运费、保险费、装卸费等费用。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．如乙方提供的设备设有维修软件密码，乙方应保证无条件地为甲方永久免费打开。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．设备安装、调试、培训结束，甲方对设备试用后进行验收（时间由甲、乙双方商定），乙方免费派工程师到达现场协助验收工作，填好相应的安装、调试、培训及验收等相关表格并签字。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．乙方应派专业技术人员在现场对甲方医院使用人员进行培训指导，在使用一段时间后可根据医院及科室的要求另行安排培训计划。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．保修期自甲方医院验收合格之日算起，保修期外只收配件费，免收人工费。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．乙方提供设备安装和维修所需的专业工具和辅助材料</w:t>
      </w:r>
      <w:r/>
    </w:p>
    <w:p>
      <w:pPr>
        <w:numPr>
          <w:ilvl w:val="0"/>
          <w:numId w:val="16"/>
        </w:numPr>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．确保设备保修期内开机率为</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，如设备故障停机率超过</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（一年按</w:t>
      </w:r>
      <w:r>
        <w:rPr>
          <w:rFonts w:ascii="Times New Roman" w:hAnsi="Times New Roman" w:eastAsia="Times New Roman" w:cs="Times New Roman"/>
          <w:color w:val="000000"/>
          <w:sz w:val="24"/>
        </w:rPr>
        <w:t xml:space="preserve">365</w:t>
      </w:r>
      <w:r>
        <w:rPr>
          <w:rFonts w:ascii="SimSun" w:hAnsi="SimSun" w:eastAsia="SimSun" w:cs="SimSun"/>
          <w:color w:val="000000"/>
          <w:sz w:val="24"/>
        </w:rPr>
        <w:t xml:space="preserve">天计算，每年</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天），每超过一天，保修期延长两周。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．如设备发生故障，乙方在接到甲方报修电话后</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小时</w:t>
      </w:r>
      <w:r>
        <w:rPr>
          <w:rFonts w:ascii="SimSun" w:hAnsi="SimSun" w:eastAsia="SimSun" w:cs="SimSun"/>
          <w:color w:val="000000"/>
          <w:sz w:val="24"/>
        </w:rPr>
        <w:t xml:space="preserve">内予以响应，否则甲方可自行采取必要的措施，由此产生的风险和费用由乙方承担。如有特殊情况，乙方应立即电话通知甲方不能响应的原因，在获得甲方同意后，方可推迟响应时间。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．乙方免费提供全套技术资料（维修说明书包括详细电路图、操作说明书及光盘），如技术资料不全，甲方有权不支付货款。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十、技术培训：</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在安装过程中或安装结束后，乙方工程师或有关人员有义务对甲方工程师和操作人员进行现场维修、保养、操作培训，解答甲方人员提出的问题。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十一、双方的违约责任：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．如果乙方没有按照合同规定的时间内交货（不可抗力除外），甲方可要求乙方支付违约金。违约金按设备全款每日</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计收。违约时间不超过</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天，逾期甲方有权解除合同</w:t>
      </w:r>
      <w:r>
        <w:rPr>
          <w:rFonts w:ascii="SimSun" w:hAnsi="SimSun" w:eastAsia="SimSun" w:cs="SimSun"/>
          <w:color w:val="000000"/>
          <w:sz w:val="24"/>
          <w:u w:val="none"/>
        </w:rPr>
        <w:t xml:space="preserve">，同时乙方向甲方支付设备全款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．如果甲方没有按照合同约定履行支付义务（不可抗力除外），乙方可要求甲方支付违约金。违约金按设备全款每日</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计收。违约时间不超过</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天，逾期乙方有权解除合同，同时甲方向乙方支付设备全款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的违约金。（如因甲方财务安排方面原因，可酌情延后付款）</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．乙方所交物品品种、数量、规格、质量不符合国家法律法规和合同规定的，由乙方负责包修、包换或退货，并承担由此而支付的实际费用。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给甲方造成损失的，乙方应当全额赔偿。</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甲方因使用、接受货物受到第三方提起诉讼的，有权要求乙方支付设备全款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的违约金。如造成甲方损失超过违约金的，超出部分由乙方继续承担赔偿责任。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如甲方发现乙方产品上存在抵押、查封等产权瑕疵，甲方有权要求乙方支付设备全款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的违约金，甲方有权解除合同，并要求乙方退款，乙方及时解除相应瑕疵的除外。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．因货物的质量问题发生争议，由法律及有关规章规定的技术单位进行质量鉴定，双方无条件服从该鉴定的结论；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．本合同在履行过程中如发生争议由双方协商解决，如协商不成则提交合同签订地人民法院裁决。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本合同一式四份，甲方执三份，乙方执一份。</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3</w:t>
      </w:r>
      <w:r>
        <w:rPr>
          <w:rFonts w:ascii="SimSun" w:hAnsi="SimSun" w:eastAsia="SimSun" w:cs="SimSun"/>
          <w:color w:val="000000"/>
          <w:sz w:val="24"/>
        </w:rPr>
        <w:t xml:space="preserve">．本合同于签订之日起生效。</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4.</w:t>
      </w:r>
      <w:r>
        <w:rPr>
          <w:rFonts w:ascii="SimSun" w:hAnsi="SimSun" w:eastAsia="SimSun" w:cs="SimSun"/>
          <w:color w:val="000000"/>
          <w:sz w:val="24"/>
        </w:rPr>
        <w:t xml:space="preserve">合同附件是合同不可分割的组成部分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与合同具有同等的法律效力。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协议签署地点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南通市崇川区。</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甲方：南通市第一人民医院</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地址：南通市崇川区胜利路</w:t>
      </w:r>
      <w:r>
        <w:rPr>
          <w:rFonts w:ascii="Times New Roman" w:hAnsi="Times New Roman" w:eastAsia="Times New Roman" w:cs="Times New Roman"/>
          <w:color w:val="000000"/>
          <w:sz w:val="24"/>
        </w:rPr>
        <w:t xml:space="preserve">666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地址：</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甲方代表（签字）：</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乙方代表（签字）：</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使用科室：</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开户行：</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账号：</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附件一：配置清单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：售后服务承诺书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rPr>
        <w:t xml:space="preserve"> </w:t>
      </w:r>
      <w:r/>
    </w:p>
    <w:p>
      <w:pPr>
        <w:pStyle w:val="721"/>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第四章 采购需求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pStyle w:val="722"/>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3936"/>
        <w:gridCol w:w="2126"/>
        <w:gridCol w:w="2000"/>
      </w:tblGrid>
      <w:tr>
        <w:trP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是否属于强制环保节能产品</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CRRT血滤机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超声检查仪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pStyle w:val="722"/>
        <w:numPr>
          <w:ilvl w:val="0"/>
          <w:numId w:val="17"/>
        </w:numP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01包 CRRT血滤机</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可提供全面治疗方案，满足体外抗凝及临床科研要求（包含）：连续性静—静脉血滤（CVVH）、连续性静—静脉血透（CVVHD）、连续性静—静脉血液透析滤过（CVVHDF）、连续性静—静脉血液透析滤过 前稀释（Pre-CVVHDF）、连续性静—静脉血液透析滤过 后稀释（Post-CVVHDF）、连续性静—静脉血滤 前后同时稀释（Pre-post CVVH）、具备枸橼酸抗凝和同步补钙治疗模式（CICA-CVVHD/CVVHDF）</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具备与设备一体化的枸橼酸抗凝模式，枸橼酸泵与血泵联动，钙泵与透析液/置换液及废液泵联动，治疗稳定后无需手动输入钙的剂量，可以进行前稀释、后稀释、前后同时稀释治疗</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流量泵和肝素泵的要求（包含）：</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血泵、置换液泵、透析液泵、废液泵、枸橼酸泵、同步补钙泵、内置肝素泵。</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血流量：12～480ml/min</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置换液流量：12～80ml/min</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透析液流量：12～80ml/min</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滤过液流量：0～180ml/min</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肝素泵流量：注射器规格可选30ml、50ml；持续给药：0.5～25ml/h，每次最大给药量：0.1～5ml</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压力监测（包含）：</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静脉压监测范围：-95～+500mmHg</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动脉压监测范围：-275～+300mmHg</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滤器前压监测范围：-50～+720mmHg</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跨膜压检测范围：-300～+500mmHg</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安全及报警系统：</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具备动脉压报警、静脉压报警、滤过压报警</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空气监测：超声波监测</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漏血监测：光学监测</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液体平衡称系统：具备不少于4个平衡称，每个称重范围0~11kg</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加温系统：具备与机器一体化的独立加热系统，可单独加热置换液和透析液，也可以同时加热置换液和透析液，加温范围：35～39℃，可调</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机器操作：</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配置彩色LCD触摸屏，具备中文操作界面，清晰显示操作指南</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有智能软件，可在线辅助操作、分析报警原因并提供解决故障的方案 </w:t>
      </w:r>
      <w:r/>
    </w:p>
    <w:p>
      <w:pPr>
        <w:numPr>
          <w:ilvl w:val="1"/>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自动预充管路，并在显示屏上清晰的显示出管路的流程路径、注解，并以不同颜色区分标识</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具备内置后备电源，在紧急断电的情况下维持15分钟，并自动转移至紧急操作模式</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耗材要求：管路和滤器可拆分，一体化管路，可以自由选择滤器或血浆分离器</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天平采用清洁区和污染区分开的上下布局形式，避免交叉感染</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操作系统具备患者关爱模式，在患者体位变化或者患者护理时减少误报警。</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具备自动预冲管路</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开机自动校准、检测，并可在治疗过程中进行周期性的核对校准</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可以自由选择前稀释或后稀释</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可以预先设定频繁使用的特殊治疗参数，使操控简单化</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与治疗相关的参数、治疗记录及报警记录持续保持≥48小时</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治疗数据以图表方式显示 </w:t>
      </w:r>
      <w:r/>
    </w:p>
    <w:p>
      <w:pPr>
        <w:numPr>
          <w:ilvl w:val="0"/>
          <w:numId w:val="18"/>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CRRT机开放端口给院内HIS/重症相关软件进行对接，可以传输设备设置参数、运行数据及报警信息</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02包 超声检查仪</w:t>
      </w:r>
      <w:r/>
    </w:p>
    <w:p>
      <w:pPr>
        <w:ind w:left="-1"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（一）设备用途及说明：</w:t>
      </w:r>
      <w:r/>
    </w:p>
    <w:p>
      <w:pPr>
        <w:numPr>
          <w:ilvl w:val="0"/>
          <w:numId w:val="19"/>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成人心脏、小儿心脏、新生儿心脏和胎儿心脏超声临床诊断应用和相关科研为主，支持实时二维和四维经胸和经食管超声心动图成像，覆盖外周血管、腹部、妇产科/盆腔、泌尿系统和前列腺、浅表组织与小器官、儿科、经颅超声、肌骨、体腔超声(经阴道/经直肠)、术中介入超声等检查全面应用。所投型号需为制造商已注册的最高端心血管专用机型和最新软件版本。 </w:t>
      </w:r>
      <w:r/>
    </w:p>
    <w:p>
      <w:pPr>
        <w:ind w:left="-1"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（二）主要规格及功能</w:t>
      </w:r>
      <w:r/>
    </w:p>
    <w:p>
      <w:pPr>
        <w:numPr>
          <w:ilvl w:val="0"/>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彩色多普勒超声波诊断仪包括：</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8"/>
        </w:rPr>
        <w:t xml:space="preserve">★</w:t>
      </w:r>
      <w:r>
        <w:rPr>
          <w:rFonts w:ascii="SimSun" w:hAnsi="SimSun" w:eastAsia="SimSun" w:cs="SimSun"/>
          <w:color w:val="000000"/>
          <w:sz w:val="24"/>
        </w:rPr>
        <w:t xml:space="preserve">具备≥21英寸高分辨率、高对比度显示器；具备≥12.0英寸超高分辨率、多点触控彩色触摸屏</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具备电动控制操作平台，可在上下/左右/前后范围内灵活调节</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具备原始数据处理能力：能对存储后的动静态图像进行增益、彩色显示、多普勒基线位置、时间轴快慢以及多普勒角度校正等参数的调节。</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具备智能像素优化技术，提高图像整体空间分辨率和对比分辨率</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二维灰阶成像单元</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所有探头均为宽频、多点变频探头 </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具备超清斑点噪声抑制技术</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▲具备心肌纹理成像模式：支持成人经胸探头。</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具备实时宽景成像技术，可前进和后退;具备应变式弹性成像，可定量获取弹性指数和弹性比值</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彩色血流成像单元</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具有二维彩色模式、四维彩色模式、能量图模式、速度方差模式、彩色M型模式等多种模式</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具备具体彩色多普勒频率显示，并独立多级可调</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具备组织内彩色显示功能，以显示组织内低速血流</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▲具备二维灰阶血流显像：非多普勒原理，直接提取微弱的血细胞回声进行成像。</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具备内置冠脉血流显像软件，能有效去除心腔彩色噪音，显示冠脉血流。</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频谱多普勒显示单元及分析系统</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具有PW、CW、HPRF、LPRF等多种模式</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具备频谱自动分析系统，具备心脏频谱自动测量功能</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组织多普勒成像单元：具备实时一键式组织速度成像、组织追踪图成像、组织同步化成像、组织应变及应变率成像</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组织谐波成像单元：具备编码二次谐波技术，具备编码脉冲反向谐波技术</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超声造影成像单元</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支持左心室造影，支持血管/腹部造影成像</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支持经胸二维及四维探头，支持食道矩阵容积探头</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具有实时多平面造影</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具备负荷超声成像单元</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四维成像单元：</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四维成像单元可支持成人、儿童经胸容积成像探头及成人经食道容积成像探头</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所有四维探头均需具有二维、彩色、PW、CW、M型、任意角度直线与曲线解剖M型、组织多普勒、多平面及四维、负荷超声、超声造影等全部功能模式</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具备单心动和多心动周期全容积成像 </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具备自动显示四维各标准切面图像：基于一个切面容积图像，即可一键式获取其他切面容积图像，无需手工剪切，显示切面数≥5个</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智能四维视野：通过系统预设的条件，仅需一个按键，即可快速的获取二尖瓣、主动脉瓣、左心耳等结构的四维模式、四维血流模式以及多平面模式等。</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解剖标记：以不同颜色的标记点对二维或四维图像进行解剖结构的标定后，会自动将二维图像和四维图像的同一结构进行关联，在调节容积图像的过程中，标记可随解剖结构的空间位置变化而随之移动，标记透明度可调。可支持4D/2D及实时双平面模式。</w:t>
      </w:r>
      <w:r/>
    </w:p>
    <w:p>
      <w:pPr>
        <w:numPr>
          <w:ilvl w:val="0"/>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测量和分析： (B型、M型、频谱多普勒、彩色多普勒、心脏容积模式)</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一般测量功能：直径、面积、体积、狭窄率、压差等</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心脏功能测量与分析</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直线解剖M型和曲线解剖M型</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基于人工智能（AI），自动识别标准切面并选择图像质量最佳的心动周期进行心内膜运动轨迹的追踪，进行二维心功能测量，支持单平面和双平面计算</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具备在二维图像模式下的心脏腔室自动测量：智能识别心室收缩末和舒张末时间点，自动测量左室内径、室间隔及左室后壁厚度、EF值等信息，提高心脏腔室测量的准确率和重复性。</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自动一键射血分数 （EF） 测量：基于 AI 的自动 ROI检测算法在有或没有 ECG 信号的情况下完成射血分数 （EF） 测量，除了启动测量工具和批准结果外，无需手动干预。</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具有基于斑点追踪技术的人工智能心肌运动定量分析</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具备四维自动左室定量分析，提供EDV、 ESV、EF、SV、CO等心功能分析参数。</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可支持三平面心肌斑点追踪技术。</w:t>
      </w:r>
      <w:r/>
    </w:p>
    <w:p>
      <w:pPr>
        <w:numPr>
          <w:ilvl w:val="2"/>
          <w:numId w:val="20"/>
        </w:numPr>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Sun" w:hAnsi="SimSun" w:eastAsia="SimSun" w:cs="SimSun"/>
          <w:color w:val="000000"/>
          <w:sz w:val="24"/>
        </w:rPr>
        <w:t xml:space="preserve">具备儿科心脏评分系统</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具备产科测量软件包，包含但不限于胎儿生长分析数据与图表、胎儿生长发育曲线等</w:t>
      </w:r>
      <w:r/>
    </w:p>
    <w:p>
      <w:pPr>
        <w:numPr>
          <w:ilvl w:val="0"/>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图像存储与（电影）回放重现单元</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超声图像静态、动态存储，原始数据回放重现</w:t>
      </w:r>
      <w:r/>
    </w:p>
    <w:p>
      <w:pPr>
        <w:numPr>
          <w:ilvl w:val="1"/>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动态图像、静态图像以AVI、JPEG或MPEGVue格式直接存储于可移动媒介</w:t>
      </w:r>
      <w:r/>
    </w:p>
    <w:p>
      <w:pPr>
        <w:numPr>
          <w:ilvl w:val="0"/>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参考信号：心电、心音、脉搏波、心电触发</w:t>
      </w:r>
      <w:r/>
    </w:p>
    <w:p>
      <w:pPr>
        <w:numPr>
          <w:ilvl w:val="0"/>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输入/输出信号:输入信号：包含但不限于ECG, USB；输出信号：包含但不限于DVI-D，音频，USB</w:t>
      </w:r>
      <w:r/>
    </w:p>
    <w:p>
      <w:pPr>
        <w:numPr>
          <w:ilvl w:val="0"/>
          <w:numId w:val="20"/>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图像管理与记录装置：内置图像管理系统，内置SSD固态硬盘存储≥1TB，其中可用于图像存储空间≥750GB；具备可扩展的存储装置：包含但不限于大容量移动硬盘、DVD-RW、DVR等</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(三)技术参数及要求：</w:t>
      </w:r>
      <w:r/>
    </w:p>
    <w:p>
      <w:pPr>
        <w:numPr>
          <w:ilvl w:val="0"/>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系统通用功能</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探头接口：探头接口数≥4个，均为微型无针式接口，所有接口通用，可任意互换</w:t>
      </w:r>
      <w:r/>
    </w:p>
    <w:p>
      <w:pPr>
        <w:numPr>
          <w:ilvl w:val="0"/>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探头规格</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频率：所配探头均为宽频带多点变频探头</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探头及工作频率范围（包含）:</w:t>
      </w:r>
      <w:r/>
    </w:p>
    <w:p>
      <w:pPr>
        <w:numPr>
          <w:ilvl w:val="2"/>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成人矩阵容积相控阵探头：1.0-6.0MHz</w:t>
      </w:r>
      <w:r/>
    </w:p>
    <w:p>
      <w:pPr>
        <w:numPr>
          <w:ilvl w:val="2"/>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成人凸阵：1.0-6.0MHz</w:t>
      </w:r>
      <w:r/>
    </w:p>
    <w:p>
      <w:pPr>
        <w:numPr>
          <w:ilvl w:val="2"/>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经食管矩阵容积相控阵探头：3.0-8.0MHz</w:t>
      </w:r>
      <w:r/>
    </w:p>
    <w:p>
      <w:pPr>
        <w:numPr>
          <w:ilvl w:val="0"/>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二维灰阶显像主要参数</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成像速率:经胸相控阵容积探头：极限帧频≥1000 ，90°×90°、16cm深度时，帧频≥45；经食管矩阵容积探头：极限帧频≥750</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二维灰阶成像≥256灰阶</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腹部探头扫描深度≥50cm （提供证明材料）</w:t>
      </w:r>
      <w:r/>
    </w:p>
    <w:p>
      <w:pPr>
        <w:numPr>
          <w:ilvl w:val="0"/>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频谱多普勒成像参数</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 PWD, HPRF，LPRF，CWD等</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最大测量速度：PWD：血流速度≥7.6m/s；CWD：血流速度≥10m/s；最低测量速度：≤2mm/s(非噪声信号)</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取样宽度及位置范围：宽度1-16mm；分级可调</w:t>
      </w:r>
      <w:r/>
    </w:p>
    <w:p>
      <w:pPr>
        <w:numPr>
          <w:ilvl w:val="0"/>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彩色多普勒成像参数</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显示方式：速度显示、能量显示、方差显示、彩色心肌速度多普勒显示、彩色心肌位移多普勒显示</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实时二同步/三同步显示</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彩色显示速度：最低平均血流显示速度：≤10mm/s</w:t>
      </w:r>
      <w:r/>
    </w:p>
    <w:p>
      <w:pPr>
        <w:numPr>
          <w:ilvl w:val="1"/>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实时组织多普勒速度成像、实时组织多普勒位移成像,可M型、直线解剖M型、曲线解剖M型及频谱分析。</w:t>
      </w:r>
      <w:r/>
    </w:p>
    <w:p>
      <w:pPr>
        <w:numPr>
          <w:ilvl w:val="0"/>
          <w:numId w:val="21"/>
        </w:numP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p>
      <w:pPr>
        <w:ind w:left="-1"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主机1台</w:t>
      </w:r>
      <w:r/>
    </w:p>
    <w:p>
      <w:pPr>
        <w:ind w:left="-1"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成人矩阵容积相控阵探头 1个</w:t>
      </w:r>
      <w:r/>
    </w:p>
    <w:p>
      <w:pPr>
        <w:ind w:left="-1"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成人凸阵探头 1个</w:t>
      </w:r>
      <w:r/>
    </w:p>
    <w:p>
      <w:pPr>
        <w:ind w:left="-1"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经食管矩阵容积相控阵探头 1个</w:t>
      </w:r>
      <w:r/>
    </w:p>
    <w:p>
      <w:pPr>
        <w:ind w:left="-1"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工作站1套(不低于i7-14700处理器 /不低于16G内存 /不低于1TB SSD固态/ 不低于4G显卡/不低于24寸高清液晶显示器)</w:t>
      </w:r>
      <w:r/>
    </w:p>
    <w:p>
      <w:pPr>
        <w:ind w:left="0" w:right="0" w:firstLine="42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2"/>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p>
      <w:pPr>
        <w:ind w:left="0" w:right="0" w:firstLine="480"/>
        <w:jc w:val="both"/>
        <w:spacing w:before="0" w:after="0" w:line="8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w:t>
      </w:r>
      <w:r>
        <w:rPr>
          <w:rFonts w:ascii="SimSun" w:hAnsi="SimSun" w:eastAsia="SimSun" w:cs="SimSun"/>
          <w:b/>
          <w:color w:val="000000"/>
          <w:sz w:val="24"/>
        </w:rPr>
        <w:t xml:space="preserve">南通市第一人民医院</w:t>
      </w:r>
      <w:r>
        <w:rPr>
          <w:rFonts w:ascii="SimSun" w:hAnsi="SimSun" w:eastAsia="SimSun" w:cs="SimSun"/>
          <w:color w:val="000000"/>
          <w:sz w:val="24"/>
        </w:rPr>
        <w:t xml:space="preserve">，乙方为：本项目的中标投标人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（一）交货期</w:t>
      </w:r>
      <w:r>
        <w:rPr>
          <w:rFonts w:ascii="SimSun" w:hAnsi="SimSun" w:eastAsia="SimSun" w:cs="SimSun"/>
          <w:color w:val="000000"/>
          <w:sz w:val="24"/>
        </w:rPr>
        <w:t xml:space="preserve">：合同签订后30天内；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（二）交货地点</w:t>
      </w:r>
      <w:r>
        <w:rPr>
          <w:rFonts w:ascii="SimSun" w:hAnsi="SimSun" w:eastAsia="SimSun" w:cs="SimSun"/>
          <w:color w:val="000000"/>
          <w:sz w:val="24"/>
        </w:rPr>
        <w:t xml:space="preserve">：甲方指定地点；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（三）付款条件</w:t>
      </w:r>
      <w:r>
        <w:rPr>
          <w:rFonts w:ascii="SimSun" w:hAnsi="SimSun" w:eastAsia="SimSun" w:cs="SimSun"/>
          <w:color w:val="000000"/>
          <w:sz w:val="24"/>
        </w:rPr>
        <w:t xml:space="preserve">：货到验收合格后三个月支付合同总额的90%，验收合格后一年期满无质量问题付清余款(如有)。成交总价已经含税，甲方要求乙方应当在付款前提交正式税务发票。否则，甲方有权拒绝付款。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01包 </w:t>
      </w:r>
      <w:r>
        <w:rPr>
          <w:rFonts w:ascii="SimSun" w:hAnsi="SimSun" w:eastAsia="SimSun" w:cs="SimSun"/>
          <w:color w:val="000000"/>
          <w:sz w:val="24"/>
        </w:rPr>
        <w:t xml:space="preserve">上述的货物免费保修期≥5年（自交货验收合格之日起计，提供原厂（或国内总代）质保承诺函）。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02包 </w:t>
      </w:r>
      <w:r>
        <w:rPr>
          <w:rFonts w:ascii="SimSun" w:hAnsi="SimSun" w:eastAsia="SimSun" w:cs="SimSun"/>
          <w:color w:val="000000"/>
          <w:sz w:val="24"/>
        </w:rPr>
        <w:t xml:space="preserve">上述的货物免费保修期≥3年（含探头）（自交货验收合格之日起计，提供原厂（或国内总代）质保承诺函）。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因人为因素出现的故障不在免费保修范围内。超过保修期的机器设备，终生维修，维修时只收部件成本费，软件终身免费升级。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（五）设备到货、安装和验收要求：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（1）乙方确保设备安全无损地运抵甲方指定现场，并承担设备的包装、运输、保险、装卸、安装调试、培训、商检及计量检测、增值税等费用。机器安装调试完毕，试用无故障方签署验收报告。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w:t>
      </w:r>
      <w:r>
        <w:rPr>
          <w:rFonts w:ascii="SimSun" w:hAnsi="SimSun" w:eastAsia="SimSun" w:cs="SimSun"/>
          <w:color w:val="000000"/>
          <w:sz w:val="24"/>
        </w:rPr>
        <w:t xml:space="preserve">处联系，并与设备处工程师共同参与安装及验收，否则引起的一切责任由乙方承担。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（3）如乙方提供的设备设有维修软件密码，乙方应保证无条件地为甲方永久免费打开。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（4）设备安装、调试、培训结束，甲方对设备试用后进行验收（时间由甲、乙双方商定），乙方免费派工程师到达现场协助验收工作，填好相应的安装、调试、培训及验收等相关表格并签字。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（5）乙方应派专业技术人员在现场对甲方医院使用人员进行培训指导，在使用一段时间后可根据医院及科室的要求另行安排培训计划。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（6）保修期自甲方医院验收合格之日算起，保修期外只收配件费，免收人工费。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（1）保修期内每年不少于2次全面的维护保养，并提供设备维修、保养详细工作报告单，保证零配件供应时间不少于厂家对设备限定的使用年限。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（2）投标文件中应明确负责本项目的合格的维修保养单位，应有相当规模的备件库以满足日常检验及应急修理的需要。确保在接到采购人通知后48小时内，将所需配件送达。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（3）确保设备保修期内开机率为95%，如设备故障停机率超过5%（一年按365天计算，每年18天），每超过一天，保修期延长两周。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设备发生故障，供应商在接到甲方报修电话后2小时内予以响应，否则甲方可自行采取必要的措施，由此产生的风险和费用由乙方承担。如有特殊情况，乙方应立即电话通知甲方不能响应的原因，在获得甲方同意后，方可推迟响应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（5）如供应商提供的设备设有维修软件密码，供应商应保证无条件地为采购人永久免费打开。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（6）在质保期满后，出现设备故障时，供应商仍需做好售后服务，并在上述时限内及要求赶到现场及时处理解决，以优于市场的价格收取配件费，免收人工费。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保修期和保修期外，供应商要确保设备正常运行，设备的功能和技术指标达到响应文件和国家相关标准。因设备本身缺陷造成各种故障应由供应商免费提供技术服务、维修及所需零配件。医院在保修期内无需支付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（8）终身免费升级软件。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（9）如需连接医院PACS等系统，需进行配合，并承担相关费用。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（10）设备出厂日期不得早于到货前6个月。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（七）技术培训：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（1）在安装过程中或安装结束后，乙方工程师或有关人员有义务对甲方工程师和操作人员进行现场维修、保养、操作培训，解答甲方人员提出的问题。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（2）乙方负责对甲方、最终用户的操作、维修人员在项目所在地进行业务培训，培训应达到能熟练操作并能排除常见故障的标准。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4.1上述中加注“★”符号的关键条款指标为实质性要求，不允许负偏离，否则投标无效；加注“▲”符号的重要条款指标；其他为一般条款指标。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加注“★”符号的关键条款指标和加注“▲”符号的重要条款指标均须提供证明材料，一般条款指标中要求提供相关材料的，材料包括但不限于公开发行的产品彩页、产品说明书或第三方检测机构出具的检测报告等，未提供的评委有权认定为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4.3商务要求条款为实质性要求不允许负偏离，否则投标无效。</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1"/>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rPr>
        <w:t xml:space="preserve">第五章</w:t>
      </w:r>
      <w:r>
        <w:rPr>
          <w:rFonts w:ascii="Arial" w:hAnsi="Arial" w:eastAsia="Arial" w:cs="Arial"/>
          <w:color w:val="000000"/>
          <w:sz w:val="40"/>
        </w:rPr>
        <w:t xml:space="preserve">  </w:t>
      </w:r>
      <w:r>
        <w:rPr>
          <w:rFonts w:ascii="Microsoft YaHei" w:hAnsi="Microsoft YaHei" w:eastAsia="Microsoft YaHei" w:cs="Microsoft YaHei"/>
          <w:color w:val="000000"/>
          <w:sz w:val="40"/>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12"/>
        <w:spacing w:before="12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512"/>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（1）本项目对小型和微型企业产品给予</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的扣除价格，用扣除后的价格参与评审。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（3）企业标准请参照《关于印发中小企业划型标准规定的通知》（工信部联企业[2011]300号）文件规定自行填写。</w:t>
      </w:r>
      <w:r/>
    </w:p>
    <w:p>
      <w:pPr>
        <w:ind w:left="0" w:right="0" w:firstLine="480"/>
        <w:spacing w:before="16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（1）本项目对残疾人福利性单位视同小型、微型企业，给予</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（3）残疾人福利单位标准请参照《关于促进残疾人就业政府采购政策的通知》（财库〔2017〕141号）。</w:t>
      </w:r>
      <w:r/>
    </w:p>
    <w:p>
      <w:pPr>
        <w:ind w:left="0" w:right="0" w:firstLine="480"/>
        <w:spacing w:before="16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（1）本项目对监狱和戒毒企业（简称监狱企业）视同小型、微型企业，给予</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（3）监狱企业标准请参照《关于政府采购支持监狱企业发展有关问题的通知》（财库[2014]68号）。</w:t>
      </w:r>
      <w:r/>
    </w:p>
    <w:p>
      <w:pPr>
        <w:ind w:left="0" w:right="0" w:firstLine="480"/>
        <w:spacing w:before="16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4、残疾人福利单位、监狱企业属于小型、微型企业的，不重复享受政策。</w:t>
      </w:r>
      <w:r/>
    </w:p>
    <w:p>
      <w:pPr>
        <w:ind w:left="0" w:right="0" w:firstLine="480"/>
        <w:spacing w:before="16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FangSong" w:hAnsi="FangSong" w:eastAsia="FangSong" w:cs="FangSong"/>
          <w:color w:val="000000"/>
          <w:sz w:val="24"/>
          <w:u w:val="single"/>
        </w:rPr>
        <w:t xml:space="preserve">4%</w:t>
      </w:r>
      <w:r>
        <w:rPr>
          <w:rFonts w:ascii="FangSong" w:hAnsi="FangSong" w:eastAsia="FangSong" w:cs="FangSong"/>
          <w:color w:val="000000"/>
          <w:sz w:val="24"/>
        </w:rPr>
        <w:t xml:space="preserve">的价格扣除，用扣除后的价格参与评审。</w:t>
      </w:r>
      <w:r/>
    </w:p>
    <w:p>
      <w:pPr>
        <w:ind w:left="0" w:right="0" w:firstLine="480"/>
        <w:spacing w:before="161"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6、联合体各方均为小型、微型企业（残疾人福利单位、监狱企业）的，联合体享受</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722"/>
        <w:ind w:left="0" w:right="0" w:firstLine="0"/>
        <w:spacing w:before="36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01包（CRRT血滤机）评标方法与评标标准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8"/>
        <w:gridCol w:w="702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评审标准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投标报价得分=(评标基准价/投标报价)×30（小数点保留两位）。</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评委根据投标文件中《技术要求响应及偏离表》，结合投标文件提供的佐证材料等进行评审：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加注“★”符号的关键指标不允许负偏离，否则投标无效；加注“▲”符号的重要指标有一项正偏离或响应加3分；其它一般指标每有一项正偏离或响应加1分；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本项满分37分。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注：投标人需按照本采购文件第四章的技术要求，在“技术参数响应及偏离表”中如实详细填列所投产品的参数，并按要求提供佐证材料，否则评标委员会有权做负偏离处理。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自2022年1月1日以来（以合同签订时间为准）完成同品牌同型号产品业绩，满分6分：每提供一份合同（复印件）得2分。合同关键信息无遮盖，包含产品型号、采购方名称等并加盖签署双方公章。同一采购方不重复计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根据各投标人提供的项目实施方案内容（包括但不限于</w:t>
            </w:r>
            <w:r>
              <w:rPr>
                <w:rFonts w:ascii="FangSong" w:hAnsi="FangSong" w:eastAsia="FangSong" w:cs="FangSong"/>
                <w:b/>
                <w:color w:val="000000"/>
                <w:sz w:val="28"/>
              </w:rPr>
              <w:t xml:space="preserve">a项目整体管理方案、b人员组织管理及架构设置、c投标人与上游供应链及终端用户沟通渠道保障、d项目整体实施进度计划及推进方案、e项目整体安全保障措施</w:t>
            </w:r>
            <w:r>
              <w:rPr>
                <w:rFonts w:ascii="FangSong" w:hAnsi="FangSong" w:eastAsia="FangSong" w:cs="FangSong"/>
                <w:color w:val="000000"/>
                <w:sz w:val="28"/>
              </w:rPr>
              <w:t xml:space="preserve">等）的完备程度及针对性、合理性进行评审：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完全涵盖以上5项内容最多得5分；包含任意1项最多得1分。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注：评标委员会根据各供应商的对应响应方案按照以下量化评审因素指标对各项要求进行满足性判断：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1、方案内容完整清晰、安排合理、完全针对采购人需求优化设计的，得1分；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2、方案内容不够完整清晰、安排合理性不足、未针对采购人需求设计的，得0.5分；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3、未提供或者经评标委员会认定完全不具备可行性的不得分。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运输安装调试方案（6分）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根据各投标人针对本项目拟定的运输安装调试方案（包括但不限于</w:t>
            </w:r>
            <w:r>
              <w:rPr>
                <w:rFonts w:ascii="FangSong" w:hAnsi="FangSong" w:eastAsia="FangSong" w:cs="FangSong"/>
                <w:b/>
                <w:color w:val="000000"/>
                <w:sz w:val="28"/>
              </w:rPr>
              <w:t xml:space="preserve">a设备出厂质检内容及包装、b设备出库、运输及货物保障、c设备安装及初始化调试、d设备验收检查流程、e运输安全保障方案、f技术人员配置及各流程交接方案</w:t>
            </w:r>
            <w:r>
              <w:rPr>
                <w:rFonts w:ascii="FangSong" w:hAnsi="FangSong" w:eastAsia="FangSong" w:cs="FangSong"/>
                <w:color w:val="000000"/>
                <w:sz w:val="28"/>
              </w:rPr>
              <w:t xml:space="preserve">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完全涵盖以上6项内容最多得6分；包含任意1项最多得1分。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注：评标委员会根据各供应商的对应响应方案按照以下量化评审因素指标对各项要求进行满足性判断：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1、安装调试方案完整详尽，专业性、可行性强，考虑周全，思路特别清晰，符合项目需求，得1分；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2、对项目执行有一定认识，方案较为完整，思路基本清晰，基本符合项目需求，该项得0.5分；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3、未提供或者经评标委员会认定完全不具备可行性的不得分。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根据各投标人针对本项目拟定的培训方案（包括但不限于</w:t>
            </w:r>
            <w:r>
              <w:rPr>
                <w:rFonts w:ascii="FangSong" w:hAnsi="FangSong" w:eastAsia="FangSong" w:cs="FangSong"/>
                <w:b/>
                <w:color w:val="000000"/>
                <w:sz w:val="28"/>
              </w:rPr>
              <w:t xml:space="preserve">a日常操作培训、b应急使用培训、c日常维护保养培训、d更新功能使用培训、e培训计划及师资安排</w:t>
            </w:r>
            <w:r>
              <w:rPr>
                <w:rFonts w:ascii="FangSong" w:hAnsi="FangSong" w:eastAsia="FangSong" w:cs="FangSong"/>
                <w:color w:val="000000"/>
                <w:sz w:val="28"/>
              </w:rPr>
              <w:t xml:space="preserve">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完全涵盖以上5项内容最多得5分；包含任意1项最多得1分。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注：评标委员会根据各供应商的对应响应方案按照以下量化评审因素指标对各项要求进行满足性判断：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1、培训方案完整详尽，专业性、可行性强，考虑周全，思路特别清晰，符合项目需求，得1分；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2、对项目执行有一定认识，方案较为完整，思路基本清晰，基本符合项目需求，该项得0.5分；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3、未提供或者经评标委员会认定完全不具备可行性的不得分。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根据各投标人针对本项目拟定的售后服务方案（包括但不限于</w:t>
            </w:r>
            <w:r>
              <w:rPr>
                <w:rFonts w:ascii="FangSong" w:hAnsi="FangSong" w:eastAsia="FangSong" w:cs="FangSong"/>
                <w:b/>
                <w:color w:val="000000"/>
                <w:sz w:val="28"/>
              </w:rPr>
              <w:t xml:space="preserve">a维修响应时间及方式、b应急维修应对措施、c日常维护、巡检、保养方案、d零配件和维修备品备件的供应保障措施、e技术服务人员及场地配置情况、f质保期内的后续技术支持和软件升级或功能改造</w:t>
            </w:r>
            <w:r>
              <w:rPr>
                <w:rFonts w:ascii="FangSong" w:hAnsi="FangSong" w:eastAsia="FangSong" w:cs="FangSong"/>
                <w:color w:val="000000"/>
                <w:sz w:val="28"/>
              </w:rPr>
              <w:t xml:space="preserve">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完全涵盖以上6项内容最多得6分；包含任意1项最多得1分。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注：评标委员会根据各供应商的对应响应方案按照以下量化评审因素指标对各项要求进行满足性判断：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1、售后方案完整详尽，专业性、可行性强，考虑周全，思路特别清晰，符合项目需求，得1分；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2、对项目执行有一定认识，方案较为完整，思路基本清晰，基本符合项目需求，该项得0.5分；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3、未提供或者经评标委员会认定完全不具备可行性的不得分。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设备整体配置选型情况综合比较，针对本项目的投标产品配置选型合理、先进，设计、材质明显有利于使用人员操作的，得5分；针对本项目的投标产品配置选型一般、且与项目需求的吻合度一般，部分设计、材质便于操作的，得3分；针对本项目的投标产品配置选型差、且与项目需求的吻合度差，材质、设计明显不利于使用的，得1分；其余不得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pStyle w:val="722"/>
        <w:ind w:left="0" w:right="0" w:firstLine="0"/>
        <w:spacing w:before="36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02包（超声检查仪）评标方法与评标标准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2"/>
        <w:gridCol w:w="702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评审标准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投标报价得分=(评标基准价/投标报价)×30（小数点保留两位）。</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评委根据投标文件中《技术要求响应及偏离表》，结合投标文件提供的佐证材料等进行评审：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加注“★”符号的关键指标不允许负偏离，否则投标无效；加注“▲”符号的重要指标有一项正偏离或响应加1分；其它一般指标每有一项正偏离或响应加0.5分；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本项满分32.5分。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注：投标人需按照本采购文件第四章的技术要求，在“技术参数响应及偏离表”中如实详细填列所投产品的参数，并按要求提供佐证材料，否则评标委员会有权做负偏离处理。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自2022年1月1日以来（以合同签订时间为准）完成同品牌同型号产品业绩，满分6分：每提供一份合同（复印件）得2分。合同关键信息无遮盖，包含产品型号、采购方名称等并加盖签署双方公章。同一采购方不重复计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根据各投标人提供的项目实施方案内容（包括但不限于</w:t>
            </w:r>
            <w:r>
              <w:rPr>
                <w:rFonts w:ascii="FangSong" w:hAnsi="FangSong" w:eastAsia="FangSong" w:cs="FangSong"/>
                <w:b/>
                <w:color w:val="000000"/>
                <w:sz w:val="28"/>
              </w:rPr>
              <w:t xml:space="preserve">a项目整体管理方案、b人员组织管理及架构设置、c投标人与上游供应链及终端用户沟通渠道保障、d项目整体实施进度计划及推进方案、e项目整体安全保障措施</w:t>
            </w:r>
            <w:r>
              <w:rPr>
                <w:rFonts w:ascii="FangSong" w:hAnsi="FangSong" w:eastAsia="FangSong" w:cs="FangSong"/>
                <w:color w:val="000000"/>
                <w:sz w:val="28"/>
              </w:rPr>
              <w:t xml:space="preserve">等）的完备程度及针对性、合理性进行评审：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完全涵盖以上5项内容最多得5分；包含任意1项最多得1分。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注：评标委员会根据各供应商的对应响应方案按照以下量化评审因素指标对各项要求进行满足性判断：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1、方案内容完整清晰、安排合理、完全针对采购人需求优化设计的，得1分；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2、方案内容不够完整清晰、安排合理性不足、未针对采购人需求设计的，得0.5分；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3、未提供或者经评标委员会认定完全不具备可行性的不得分。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运输安装调试方案（6分）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根据各投标人针对本项目拟定的运输安装调试方案（包括但不限于</w:t>
            </w:r>
            <w:r>
              <w:rPr>
                <w:rFonts w:ascii="FangSong" w:hAnsi="FangSong" w:eastAsia="FangSong" w:cs="FangSong"/>
                <w:b/>
                <w:color w:val="000000"/>
                <w:sz w:val="28"/>
              </w:rPr>
              <w:t xml:space="preserve">a设备出厂质检内容及包装、b设备出库、运输及货物保障、c设备安装及初始化调试、d设备验收检查流程、e运输安全保障方案、f技术人员配置及各流程交接方案</w:t>
            </w:r>
            <w:r>
              <w:rPr>
                <w:rFonts w:ascii="FangSong" w:hAnsi="FangSong" w:eastAsia="FangSong" w:cs="FangSong"/>
                <w:color w:val="000000"/>
                <w:sz w:val="28"/>
              </w:rPr>
              <w:t xml:space="preserve">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完全涵盖以上6项内容最多得6分；包含任意1项最多得1分。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注：评标委员会根据各供应商的对应响应方案按照以下量化评审因素指标对各项要求进行满足性判断：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1、安装调试方案完整详尽，专业性、可行性强，考虑周全，思路特别清晰，符合项目需求，得1分；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2、对项目执行有一定认识，方案较为完整，思路基本清晰，基本符合项目需求，该项得0.5分；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3、未提供或者经评标委员会认定完全不具备可行性的不得分。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根据各投标人针对本项目拟定的培训方案（包括但不限于</w:t>
            </w:r>
            <w:r>
              <w:rPr>
                <w:rFonts w:ascii="FangSong" w:hAnsi="FangSong" w:eastAsia="FangSong" w:cs="FangSong"/>
                <w:b/>
                <w:color w:val="000000"/>
                <w:sz w:val="28"/>
              </w:rPr>
              <w:t xml:space="preserve">a日常操作培训、b应急使用培训、c日常维护保养培训、d更新功能使用培训、e培训计划及师资安排</w:t>
            </w:r>
            <w:r>
              <w:rPr>
                <w:rFonts w:ascii="FangSong" w:hAnsi="FangSong" w:eastAsia="FangSong" w:cs="FangSong"/>
                <w:color w:val="000000"/>
                <w:sz w:val="28"/>
              </w:rPr>
              <w:t xml:space="preserve">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完全涵盖以上5项内容最多得5分；包含任意1项最多得1分。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注：评标委员会根据各供应商的对应响应方案按照以下量化评审因素指标对各项要求进行满足性判断：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1、培训方案完整详尽，专业性、可行性强，考虑周全，思路特别清晰，符合项目需求，得1分；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2、对项目执行有一定认识，方案较为完整，思路基本清晰，基本符合项目需求，该项得0.5分；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3、未提供或者经评标委员会认定完全不具备可行性的不得分。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根据各投标人针对本项目拟定的售后服务方案（包括但不限于</w:t>
            </w:r>
            <w:r>
              <w:rPr>
                <w:rFonts w:ascii="FangSong" w:hAnsi="FangSong" w:eastAsia="FangSong" w:cs="FangSong"/>
                <w:b/>
                <w:color w:val="000000"/>
                <w:sz w:val="28"/>
              </w:rPr>
              <w:t xml:space="preserve">a维修响应时间及方式、b应急维修应对措施、c日常维护、巡检、保养方案、d零配件和维修备品备件的供应保障措施、e技术服务人员及场地配置情况、f质保期内的后续技术支持和软件升级或功能改造</w:t>
            </w:r>
            <w:r>
              <w:rPr>
                <w:rFonts w:ascii="FangSong" w:hAnsi="FangSong" w:eastAsia="FangSong" w:cs="FangSong"/>
                <w:color w:val="000000"/>
                <w:sz w:val="28"/>
              </w:rPr>
              <w:t xml:space="preserve">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完全涵盖以上6项内容最多得6分；包含任意1项最多得1分。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注：评标委员会根据各供应商的对应响应方案按照以下量化评审因素指标对各项要求进行满足性判断：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1、售后方案完整详尽，专业性、可行性强，考虑周全，思路特别清晰，符合项目需求，得1分；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2、对项目执行有一定认识，方案较为完整，思路基本清晰，基本符合项目需求，该项得0.5分；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3、未提供或者经评标委员会认定完全不具备可行性的不得分。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设备使用年限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根据投标人所投产品的使用年限评审。使用年限≥10年，得4分；8年≤使用年限＜10年，得2分；使用年限＜8年，不得分。提供设备铭牌实物照片或真实有效的制造商使用手册，不提供或提供不全不得分。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设备整体配置选型情况综合比较，针对本项目的投标产品配置选型合理、先进，设计、材质明显有利于使用人员操作的，得5.5分；针对本项目的投标产品配置选型一般、且与项目需求的吻合度一般，部分设计、材质便于操作的，得3分；针对本项目的投标产品配置选型差、且与项目需求的吻合度差，材质、设计明显不利于使用的，得0.5分；其余不得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rPr>
        <w:t xml:space="preserve"> </w:t>
      </w:r>
      <w:r/>
    </w:p>
    <w:p>
      <w:pPr>
        <w:pStyle w:val="721"/>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投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YouYuan" w:hAnsi="YouYuan" w:eastAsia="YouYuan" w:cs="YouYuan"/>
          <w:b/>
          <w:color w:val="000000"/>
          <w:sz w:val="28"/>
        </w:rPr>
        <w:t xml:space="preserve">投标文件目录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一、基本目录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1.开标一览表（格式见附件1）</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2.投标分项报价表（格式见附件2）</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3.技术要求响应及偏离表（格式见附件3）</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4.商务要求响应及偏离表（格式见附件4）</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二、资格审查内容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1.投标人符合《政府采购法》第二十二条规定条件（格式见附件5）</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2.特定资格要求的证明文件（如果本项目对投标人做出特定资格要求的，必须提供）（格式见附件6）</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3.投标函（格式见附件7）</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4.中小微企业声明函（格式见附件8）</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5.残疾人福利性单位声明函（格式见附件9）</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总备注：上述“资格审查内容”中1、3、5条投标人必须在投标文件中提供相关材料，否则作无效投标处理；2、4条如招标文件要求必须提供相关材料而未提供的，作无效投标处理。</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三、符合性审查内容</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1、报价要求：投标报价表中的设备名称、数量、单位必须与招标文件采购需求一致，报价不超过最高限价。</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2、商务要求：</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2.1采购需求中必须满足的实质性要求（即加注“★”的内容及商务要求，每条详细列出），否则投标无效；</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2.3商务要求不接受任何一项的负偏离或者不满足，允许正偏离；</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2.4《第六章投标文件构成》中“投标文件构成”没有缺漏；</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2.5投标函中注明的投标有效期符合招标文件要求；</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2.6本项目不接受联合体投标；</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2.7本项目不接受备选投标方案；</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2.8投标文件没有采购人不能接受的附加条件；</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2.9投标文件没有法律、法规和招标文件规定的其他无效情形；</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2.10不存在招标文件中第28.5条款的情形之一。</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3、技术要求：</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3.1技术要求中，“★”参数不允许负偏离，否则投标无效；</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3.2投标文件中的《技术要求响应及偏离表》按照招标文件要求点对点应答的。</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四、价格扣除证明文件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1.中小微企业声明函（格式见附件8）</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2.残疾人福利性单位声明函（格式见附件9）</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 开标一览表</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开标一览表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投标人全称（加盖CA电子签章）：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640"/>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w:t>
            </w:r>
            <w:r>
              <w:rPr>
                <w:rFonts w:ascii="Calibri" w:hAnsi="Calibri" w:eastAsia="Calibri" w:cs="Calibri"/>
                <w:color w:val="000000"/>
                <w:sz w:val="28"/>
              </w:rPr>
              <w:t xml:space="preserve">     </w:t>
            </w:r>
            <w:r>
              <w:rPr>
                <w:rFonts w:ascii="FangSong" w:hAnsi="FangSong" w:eastAsia="FangSong" w:cs="FangSong"/>
                <w:color w:val="000000"/>
                <w:sz w:val="28"/>
              </w:rPr>
              <w:t xml:space="preserve">                          （人民币：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附件2 投标分项报价表</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投标分项报价表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9"/>
        <w:gridCol w:w="1312"/>
        <w:gridCol w:w="982"/>
        <w:gridCol w:w="1273"/>
        <w:gridCol w:w="1396"/>
        <w:gridCol w:w="778"/>
        <w:gridCol w:w="1038"/>
        <w:gridCol w:w="668"/>
        <w:gridCol w:w="718"/>
        <w:gridCol w:w="696"/>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规格</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2"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投标总报价（人民币：元）</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2.“投标分项报价表”中“投标总报价”数额应当与“开标一览表”中“投标总报价”数额一致。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3.投标人需认真填写本报价表，尤其注意规格型号的准确填写。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4.项目经办人可以根据项目实际需要对表格结构进行调整。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附件3 技术要求响应及偏离表</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技术要求响应及偏离表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附件3-1  证明材料1，证明材料2，……</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1.投标人需对技术要求（未加标注的非实质性要求）逐条做出明确响应。</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附件4 商务要求响应及偏离表</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商务要求响应及偏离表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附件4-1  证明材料1，证明材料2，……</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1.投标人需对商务要求逐条做出明确响应。</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附件5 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我单位参加</w:t>
      </w:r>
      <w:r>
        <w:rPr>
          <w:rFonts w:ascii="SimSun" w:hAnsi="SimSun" w:eastAsia="SimSun" w:cs="SimSun"/>
          <w:color w:val="000000"/>
          <w:sz w:val="28"/>
          <w:u w:val="single"/>
        </w:rPr>
        <w:t xml:space="preserve">________________ _</w:t>
      </w:r>
      <w:r>
        <w:rPr>
          <w:rFonts w:ascii="SimSun" w:hAnsi="SimSun" w:eastAsia="SimSun" w:cs="SimSun"/>
          <w:color w:val="000000"/>
          <w:sz w:val="28"/>
        </w:rPr>
        <w:t xml:space="preserve">（项目名称），</w:t>
      </w:r>
      <w:r>
        <w:rPr>
          <w:rFonts w:ascii="SimSun" w:hAnsi="SimSun" w:eastAsia="SimSun" w:cs="SimSun"/>
          <w:color w:val="000000"/>
          <w:sz w:val="28"/>
          <w:u w:val="single"/>
        </w:rPr>
        <w:t xml:space="preserve">_______ __________</w:t>
      </w:r>
      <w:r>
        <w:rPr>
          <w:rFonts w:ascii="SimSun" w:hAnsi="SimSun" w:eastAsia="SimSun" w:cs="SimSun"/>
          <w:color w:val="000000"/>
          <w:sz w:val="28"/>
        </w:rPr>
        <w:t xml:space="preserve">（项目编号）投标活动。针对《中华人民共和国政府采购法》第二十二条规定做出如下声明：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4.我单位有依法缴纳税收和社会保障资金的良好记录；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rPr>
          <w:rFonts w:ascii="SimSun" w:hAnsi="SimSun" w:eastAsia="SimSun" w:cs="SimSun"/>
          <w:color w:val="000000"/>
          <w:sz w:val="28"/>
          <w:u w:val="single"/>
        </w:rPr>
        <w:t xml:space="preserve">______</w:t>
      </w:r>
      <w:r>
        <w:rPr>
          <w:rFonts w:ascii="SimSun" w:hAnsi="SimSun" w:eastAsia="SimSun" w:cs="SimSun"/>
          <w:color w:val="000000"/>
          <w:sz w:val="28"/>
        </w:rPr>
        <w:t xml:space="preserve">年</w:t>
      </w:r>
      <w:r>
        <w:rPr>
          <w:rFonts w:ascii="SimSun" w:hAnsi="SimSun" w:eastAsia="SimSun" w:cs="SimSun"/>
          <w:color w:val="000000"/>
          <w:sz w:val="28"/>
          <w:u w:val="single"/>
        </w:rPr>
        <w:t xml:space="preserve">___</w:t>
      </w:r>
      <w:r>
        <w:rPr>
          <w:rFonts w:ascii="SimSun" w:hAnsi="SimSun" w:eastAsia="SimSun" w:cs="SimSun"/>
          <w:color w:val="000000"/>
          <w:sz w:val="28"/>
        </w:rPr>
        <w:t xml:space="preserve">月</w:t>
      </w:r>
      <w:r>
        <w:rPr>
          <w:rFonts w:ascii="SimSun" w:hAnsi="SimSun" w:eastAsia="SimSun" w:cs="SimSun"/>
          <w:color w:val="000000"/>
          <w:sz w:val="28"/>
          <w:u w:val="single"/>
        </w:rPr>
        <w:t xml:space="preserve">___</w:t>
      </w:r>
      <w:r>
        <w:rPr>
          <w:rFonts w:ascii="SimSun" w:hAnsi="SimSun" w:eastAsia="SimSun" w:cs="SimSun"/>
          <w:color w:val="000000"/>
          <w:sz w:val="28"/>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一、法人或者其他组织的营业执照等证明文件，自然人的身份证明</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法人授权书</w:t>
      </w:r>
      <w:r/>
    </w:p>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本授权书声明：____________（法定代表人的姓名）授权________________（授权代表的姓名）为我方就JSZC-320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号项目采购活动的合法代理人，以本单位名义全权处理一切与该项目采购有关的事务。</w:t>
      </w:r>
      <w:r/>
    </w:p>
    <w:p>
      <w:pPr>
        <w:ind w:left="0" w:right="0" w:firstLine="56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本授权书于______年____月____日起生效，特此声明。</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法定代表人姓名：</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法定代表人身份证号码：</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授权代表姓名：</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授权代表身份证号码：</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授权代表联系电话：（手机）</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投标人单位名称：</w:t>
      </w:r>
      <w:r>
        <w:rPr>
          <w:rFonts w:ascii="FangSong" w:hAnsi="FangSong" w:eastAsia="FangSong" w:cs="FangSong"/>
          <w:color w:val="000000"/>
          <w:sz w:val="28"/>
          <w:u w:val="single"/>
        </w:rPr>
        <w:t xml:space="preserve">（加盖CA电子公章）</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p>
      <w:pPr>
        <w:ind w:left="0" w:right="0" w:firstLine="56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(1)本授权委托书之后需附上法定代表人、授权委托人身份证复印件。</w:t>
      </w:r>
      <w:r/>
    </w:p>
    <w:p>
      <w:pPr>
        <w:ind w:left="0" w:right="0" w:firstLine="56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(2)如果是法定代表人直接参与投标的可以不提供授权委托书;但必须在营业执照之后附上法定代表人身份证复印;</w:t>
      </w:r>
      <w:r/>
    </w:p>
    <w:p>
      <w:pPr>
        <w:ind w:left="0" w:right="0" w:firstLine="56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(3)未按上述规定随附身份证复印件的，投标无效。</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二、上一年度的财务状况报告</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年度经审计的财务报告，或投标截止时间前六个月内任一月份企业编制的会计报表（至少包括资产负债表和利润表），或投标截止时间前六个月内银行出具的资信证明，复印件加盖公章；（投标人成立不满一年无需提供）</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提供提交投标文件截止时间前六个月内至少一个月依法缴纳税收及缴纳社会保障资金的证明材料。投标人依法享受缓缴、免缴税收、社会保障资金的提供证明材料。</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40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我公司郑重声明：具有履行编号为</w:t>
      </w:r>
      <w:r>
        <w:rPr>
          <w:rFonts w:ascii="FangSong" w:hAnsi="FangSong" w:eastAsia="FangSong" w:cs="FangSong"/>
          <w:color w:val="000000"/>
          <w:sz w:val="28"/>
        </w:rPr>
        <w:t xml:space="preserve">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SimSun" w:hAnsi="SimSun" w:eastAsia="SimSun" w:cs="SimSun"/>
          <w:color w:val="000000"/>
          <w:sz w:val="24"/>
        </w:rPr>
        <w:t xml:space="preserve">项下采购项目合同的设备和专业技术能力。</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投标日期：2025年XX月XX日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w:t>
      </w:r>
      <w:r/>
    </w:p>
    <w:p>
      <w:pPr>
        <w:ind w:left="0" w:right="0" w:firstLine="480"/>
        <w:spacing w:before="0" w:after="0" w:line="65" w:lineRule="atLeast"/>
        <w:tabs>
          <w:tab w:val="left" w:pos="47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投标日期：2025年XX月XX日</w:t>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2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附件6特定资格要求的证明文件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1.投标产品如果属于医疗设备注册/备案范畴的；投标人须根据投标产品的类别，提供有效期内的《医疗器械经营许可证》或者《医疗器械经营备案凭证》（复印件）；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2．投标产品如果属于医疗设备注册/备案范畴的；投标人须提供投标产品的有效期内的《医疗器械注册证》或者备案凭证（复印件）；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附件7投标函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致：江苏苏豪创新科技集团高科有限公司</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号招标文件，正式授权下述签字人_____(姓名)代表我方_______（投标人的名称），全权处理本次项目投标的有关事宜。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1.按招标文件规定的各项要求，向买方提供所需货物（包含与货物相关的服务）。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2.我们完全理解贵方不一定将合同授予最低报价的投标人。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3.我们已详细审核全部招标文件及其有效补充文件，我们知道必须放弃提出含糊不清或误解问题的权利。</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4.我们同意从规定的开标日期起遵循本投标文件，并在规定的投标有效期期满之前均具有约束力。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5.同意向贵方提供贵方可能另外要求的与投标有关的任何证据或资料，并保证我方已提供和将要提供的文件是真实的、准确的。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6.一旦我方中标,我方将根据招标文件的规定，严格履行合同的责任和义务,并保证在招标文件规定的时间完成项目，交付买方验收、使用。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7.与本投标有关的正式通讯地址为：</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         编：</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         真：</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投标人开户行：</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420"/>
        <w:spacing w:before="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pStyle w:val="72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附件8 中小微企业声明函</w:t>
      </w:r>
      <w:r/>
    </w:p>
    <w:p>
      <w:pPr>
        <w:ind w:left="0" w:right="0" w:firstLine="281"/>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中小微企业声明函（货物类项目）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本公司（联合体）郑重声明，根据《政府采购促进中小企业发展管理办法》(财库[2020]46号)的规定，本公司（联合体）参加江苏苏豪创新科技集团高科有限公司组织的</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采购编号为JSZC-320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行业；制造商为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，从业人员人，营业收入为万元，资产总额为万元，属于</w:t>
      </w:r>
      <w:r>
        <w:rPr>
          <w:rFonts w:ascii="FangSong" w:hAnsi="FangSong" w:eastAsia="FangSong" w:cs="FangSong"/>
          <w:color w:val="000000"/>
          <w:sz w:val="28"/>
          <w:u w:val="single"/>
        </w:rPr>
        <w:t xml:space="preserve">（□中型企业 □小型企业 □微型企业）；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行业；制造商为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，从业人员人，营业收入为万元，资产总额为万元，属于</w:t>
      </w:r>
      <w:r>
        <w:rPr>
          <w:rFonts w:ascii="FangSong" w:hAnsi="FangSong" w:eastAsia="FangSong" w:cs="FangSong"/>
          <w:color w:val="000000"/>
          <w:sz w:val="28"/>
          <w:u w:val="single"/>
        </w:rPr>
        <w:t xml:space="preserve">（□中型企业 □小型企业 □微型企业）；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right"/>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企业名称（加盖CA电子公章）：</w:t>
      </w:r>
      <w:r/>
    </w:p>
    <w:p>
      <w:pPr>
        <w:ind w:left="0" w:right="0" w:firstLine="630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w:t>
      </w:r>
      <w:r/>
    </w:p>
    <w:p>
      <w:pPr>
        <w:ind w:left="0" w:right="0" w:firstLine="630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1.从业人员、营业收入、资产总额填报上一年度数据，无上一年度数据的新成立企业可不填报。</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3.供应商自行勾选制造商的企业规模类型。</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附件9残疾人福利性单位声明函</w:t>
      </w:r>
      <w:r/>
    </w:p>
    <w:p>
      <w:pPr>
        <w:ind w:left="141" w:right="0" w:hanging="141"/>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残疾人福利性单位声明函（货物类项目）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的项目采购活动提供本单位制造的货物，或者提供其他残疾人福利性单位制造的货物（不包括使用非残疾人福利性单位注册商标的货物）。</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非专门面向中小微型企业采购的项目，供应商如不提供此声明函，价格将不做相应扣除。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3.中标/成交供应商为残疾人福利性单位的，此声明函将随中标/成交结果同时公告，接受社会监督。</w:t>
      </w:r>
      <w:r/>
    </w:p>
    <w:p>
      <w:pPr>
        <w:ind w:left="0" w:right="0" w:firstLine="58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0" w:firstLine="584"/>
        <w:jc w:val="center"/>
        <w:spacing w:before="0" w:after="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供应商全称（加盖CA电子章）：</w:t>
      </w:r>
      <w:r/>
    </w:p>
    <w:p>
      <w:pPr>
        <w:ind w:left="0" w:right="0" w:firstLine="560"/>
        <w:jc w:val="center"/>
        <w:spacing w:before="0" w:after="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  期：</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w:t>
      </w:r>
      <w:r>
        <w:rPr>
          <w:rFonts w:ascii="FangSong" w:hAnsi="FangSong" w:eastAsia="FangSong" w:cs="FangSong"/>
          <w:color w:val="000000"/>
          <w:sz w:val="28"/>
        </w:rPr>
        <w:t xml:space="preserve">0实质性要求响应及偏离表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实质性要求响应及偏离表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9"/>
        <w:gridCol w:w="3876"/>
        <w:gridCol w:w="2835"/>
        <w:gridCol w:w="17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附件证明材料1，证明材料2，……</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1.投标人必须对技术要求和商务要求中的实质性要求逐条做出明确响应，否则作无效投标处理。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2.如果招标文件要求提供证明材料，投标人必须将证明材料列于该表之下。</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3.投标人未对实质性要求逐条作出明确响应的，或未按招标文件要求提供证明材料的，该分包作无效投标处理。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2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附件11相关业绩案例一览表（如有）</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供货设备清单</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业主名称</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1.投标人须提供上述业绩合同复印件；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3.投标人应在不涉及商业秘密的前提下尽可能提供详细的合同复印件内容。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pStyle w:val="72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质疑函范本</w:t>
      </w:r>
      <w:r/>
    </w:p>
    <w:p>
      <w:pPr>
        <w:ind w:left="0" w:right="0" w:firstLine="0"/>
        <w:jc w:val="both"/>
        <w:spacing w:before="29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一、质疑供应商基本信息</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质疑供应商：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联系人：联系电话：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二、质疑项目基本情况</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质疑项目的名称：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质疑项目的编号：包号：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采购人名称：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采购文件获取日期：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三、质疑事项具体内容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质疑事项1：</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事实依据：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法律依据：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质疑事项2</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四、与质疑事项相关的质疑请求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签字(签章)：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质疑函制作说明：</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1.供应商提出质疑时，应提交质疑函和必要的证明材料。</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3.质疑供应商若对项目的某一分包进行质疑，质疑函中应列明具体分包号。</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4.质疑函的质疑事项应具体、明确，并有必要的事实依据和法律依据。</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5.质疑函的质疑请求应与质疑事项相关。</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r/>
      <w:r/>
    </w:p>
    <w:sectPr>
      <w:headerReference w:type="default" r:id="rId9"/>
      <w:footerReference w:type="default" r:id="rId10"/>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YouYuan">
    <w:panose1 w:val="02010509060101010101"/>
  </w:font>
  <w:font w:name="FangSong">
    <w:panose1 w:val="02010609060101010101"/>
  </w:font>
  <w:font w:name="Symbol">
    <w:panose1 w:val="05050102010706020507"/>
  </w:font>
  <w:font w:name="KaiTi">
    <w:panose1 w:val="02010609060101010101"/>
  </w:font>
  <w:font w:name="Wingdings">
    <w:panose1 w:val="05000000000000000000"/>
  </w:font>
  <w:font w:name="Courier New">
    <w:panose1 w:val="02070309020205020404"/>
  </w:font>
  <w:font w:name="黑体">
    <w:panose1 w:val="02010609060101010101"/>
  </w:font>
  <w:font w:name="仿宋">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42"/>
          <w:jc w:val="center"/>
        </w:pPr>
        <w:r>
          <w:fldChar w:fldCharType="begin"/>
        </w:r>
        <w:r>
          <w:instrText xml:space="preserve">PAGE   \* MERGEFORMAT</w:instrText>
        </w:r>
        <w:r>
          <w:fldChar w:fldCharType="separate"/>
        </w:r>
        <w:r>
          <w:rPr>
            <w:lang w:val="zh-CN"/>
          </w:rPr>
          <w:t xml:space="preserve">4</w:t>
        </w:r>
        <w:r>
          <w:rPr>
            <w:lang w:val="zh-CN"/>
          </w:rPr>
          <w:fldChar w:fldCharType="end"/>
        </w:r>
        <w:r/>
      </w:p>
    </w:sdtContent>
  </w:sdt>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仿宋" w:hAnsi="仿宋" w:eastAsia="仿宋"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2"/>
      <w:numFmt w:val="japaneseCounting"/>
      <w:isLgl w:val="false"/>
      <w:suff w:val="tab"/>
      <w:lvlText w:val="%1、"/>
      <w:lvlJc w:val="left"/>
      <w:pPr>
        <w:ind w:left="510" w:hanging="510"/>
      </w:pPr>
      <w:rPr>
        <w:rFonts w:hint="default"/>
      </w:rPr>
    </w:lvl>
    <w:lvl w:ilvl="1">
      <w:start w:val="3"/>
      <w:numFmt w:val="bullet"/>
      <w:isLgl w:val="false"/>
      <w:suff w:val="tab"/>
      <w:lvlText w:val="★"/>
      <w:lvlJc w:val="left"/>
      <w:pPr>
        <w:ind w:left="780" w:hanging="360"/>
      </w:pPr>
      <w:rPr>
        <w:rFonts w:hint="eastAsia" w:ascii="宋体" w:hAnsi="宋体" w:eastAsia="宋体" w:cs="Times New Roman"/>
      </w:rPr>
    </w:lvl>
    <w:lvl w:ilvl="2">
      <w:start w:val="1"/>
      <w:numFmt w:val="decimal"/>
      <w:isLgl w:val="false"/>
      <w:suff w:val="tab"/>
      <w:lvlText w:val="%3)"/>
      <w:lvlJc w:val="left"/>
      <w:pPr>
        <w:ind w:left="1200" w:hanging="360"/>
      </w:pPr>
      <w:rPr>
        <w:rFonts w:hint="eastAsia"/>
      </w:rPr>
    </w:lvl>
    <w:lvl w:ilvl="3">
      <w:start w:val="1"/>
      <w:numFmt w:val="decimal"/>
      <w:isLgl w:val="false"/>
      <w:suff w:val="tab"/>
      <w:lvlText w:val="%4）"/>
      <w:lvlJc w:val="left"/>
      <w:pPr>
        <w:ind w:left="1620" w:hanging="360"/>
      </w:pPr>
      <w:rPr>
        <w:rFonts w:hint="eastAsia"/>
      </w:r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
      <w:numFmt w:val="decimal"/>
      <w:isLgl w:val="false"/>
      <w:suff w:val="tab"/>
      <w:lvlText w:val="第%1章"/>
      <w:lvlJc w:val="left"/>
      <w:pPr>
        <w:ind w:left="1440" w:hanging="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510" w:hanging="510"/>
      </w:pPr>
    </w:lvl>
    <w:lvl w:ilvl="1">
      <w:start w:val="1"/>
      <w:numFmt w:val="bullet"/>
      <w:isLgl w:val="false"/>
      <w:suff w:val="tab"/>
      <w:lvlText w:val="★"/>
      <w:lvlJc w:val="left"/>
      <w:pPr>
        <w:ind w:left="780" w:hanging="360"/>
      </w:pPr>
      <w:rPr>
        <w:rFonts w:hint="default" w:ascii="Symbol" w:hAnsi="Symbol" w:eastAsia="Symbol" w:cs="Symbol"/>
      </w:r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20" w:hanging="36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1"/>
      <w:numFmt w:val="decimal"/>
      <w:isLgl w:val="false"/>
      <w:suff w:val="tab"/>
      <w:lvlText w:val="第%1章"/>
      <w:lvlJc w:val="left"/>
      <w:pPr>
        <w:ind w:left="1440" w:hanging="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510" w:hanging="510"/>
      </w:pPr>
    </w:lvl>
    <w:lvl w:ilvl="1">
      <w:start w:val="1"/>
      <w:numFmt w:val="bullet"/>
      <w:isLgl w:val="false"/>
      <w:suff w:val="tab"/>
      <w:lvlText w:val="★"/>
      <w:lvlJc w:val="left"/>
      <w:pPr>
        <w:ind w:left="780" w:hanging="360"/>
      </w:pPr>
      <w:rPr>
        <w:rFonts w:hint="default" w:ascii="Symbol" w:hAnsi="Symbol" w:eastAsia="Symbol" w:cs="Symbol"/>
      </w:rPr>
    </w:lvl>
    <w:lvl w:ilvl="2">
      <w:start w:val="1"/>
      <w:numFmt w:val="decimal"/>
      <w:isLgl w:val="false"/>
      <w:suff w:val="tab"/>
      <w:lvlText w:val="%3)"/>
      <w:lvlJc w:val="left"/>
      <w:pPr>
        <w:ind w:left="1200" w:hanging="360"/>
      </w:pPr>
    </w:lvl>
    <w:lvl w:ilvl="3">
      <w:start w:val="1"/>
      <w:numFmt w:val="decimal"/>
      <w:isLgl w:val="false"/>
      <w:suff w:val="tab"/>
      <w:lvlText w:val="%4）"/>
      <w:lvlJc w:val="left"/>
      <w:pPr>
        <w:ind w:left="1620" w:hanging="36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0"/>
  </w:num>
  <w:num w:numId="2">
    <w:abstractNumId w:val="4"/>
  </w:num>
  <w:num w:numId="3">
    <w:abstractNumId w:val="2"/>
  </w:num>
  <w:num w:numId="4">
    <w:abstractNumId w:val="5"/>
  </w:num>
  <w:num w:numId="5">
    <w:abstractNumId w:val="6"/>
  </w:num>
  <w:num w:numId="6">
    <w:abstractNumId w:val="3"/>
  </w:num>
  <w:num w:numId="7">
    <w:abstractNumId w:val="1"/>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0">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9">
    <w:name w:val="TOC Heading"/>
    <w:uiPriority w:val="39"/>
    <w:unhideWhenUsed/>
  </w:style>
  <w:style w:type="paragraph" w:styleId="720" w:default="1">
    <w:name w:val="Normal"/>
    <w:qFormat/>
    <w:rPr>
      <w:rFonts w:eastAsiaTheme="minorEastAsia"/>
    </w:rPr>
  </w:style>
  <w:style w:type="paragraph" w:styleId="721">
    <w:name w:val="Heading 1"/>
    <w:basedOn w:val="720"/>
    <w:next w:val="720"/>
    <w:link w:val="798"/>
    <w:uiPriority w:val="9"/>
    <w:qFormat/>
    <w:pPr>
      <w:keepLines/>
      <w:keepNext/>
      <w:spacing w:before="480" w:after="200"/>
      <w:outlineLvl w:val="0"/>
    </w:pPr>
    <w:rPr>
      <w:rFonts w:ascii="Arial" w:hAnsi="Arial" w:eastAsia="Arial" w:cs="Arial"/>
      <w:sz w:val="40"/>
      <w:szCs w:val="40"/>
    </w:rPr>
  </w:style>
  <w:style w:type="paragraph" w:styleId="722">
    <w:name w:val="Heading 2"/>
    <w:next w:val="720"/>
    <w:link w:val="799"/>
    <w:uiPriority w:val="9"/>
    <w:unhideWhenUsed/>
    <w:qFormat/>
    <w:pPr>
      <w:keepLines/>
      <w:keepNext/>
      <w:spacing w:before="360" w:after="200"/>
      <w:outlineLvl w:val="1"/>
    </w:pPr>
    <w:rPr>
      <w:rFonts w:ascii="Arial" w:hAnsi="Arial" w:eastAsia="Arial" w:cs="Arial"/>
      <w:sz w:val="34"/>
    </w:rPr>
  </w:style>
  <w:style w:type="paragraph" w:styleId="723">
    <w:name w:val="Heading 3"/>
    <w:next w:val="720"/>
    <w:link w:val="800"/>
    <w:uiPriority w:val="9"/>
    <w:unhideWhenUsed/>
    <w:qFormat/>
    <w:pPr>
      <w:keepLines/>
      <w:keepNext/>
      <w:spacing w:before="320" w:after="200"/>
      <w:outlineLvl w:val="2"/>
    </w:pPr>
    <w:rPr>
      <w:rFonts w:ascii="Arial" w:hAnsi="Arial" w:eastAsia="Arial" w:cs="Arial"/>
      <w:sz w:val="30"/>
      <w:szCs w:val="30"/>
    </w:rPr>
  </w:style>
  <w:style w:type="paragraph" w:styleId="724">
    <w:name w:val="Heading 4"/>
    <w:next w:val="720"/>
    <w:link w:val="801"/>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next w:val="720"/>
    <w:link w:val="802"/>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next w:val="720"/>
    <w:link w:val="803"/>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next w:val="720"/>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next w:val="720"/>
    <w:link w:val="805"/>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next w:val="720"/>
    <w:link w:val="806"/>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toc 7"/>
    <w:next w:val="720"/>
    <w:uiPriority w:val="39"/>
    <w:unhideWhenUsed/>
    <w:qFormat/>
    <w:pPr>
      <w:ind w:left="1701"/>
      <w:spacing w:after="57"/>
    </w:pPr>
    <w:rPr>
      <w:rFonts w:eastAsiaTheme="minorEastAsia"/>
    </w:rPr>
  </w:style>
  <w:style w:type="paragraph" w:styleId="734">
    <w:name w:val="Caption"/>
    <w:next w:val="720"/>
    <w:uiPriority w:val="35"/>
    <w:semiHidden/>
    <w:unhideWhenUsed/>
    <w:qFormat/>
    <w:pPr>
      <w:spacing w:line="276" w:lineRule="auto"/>
    </w:pPr>
    <w:rPr>
      <w:rFonts w:eastAsiaTheme="minorEastAsia"/>
      <w:b/>
      <w:bCs/>
      <w:color w:val="4f81bd" w:themeColor="accent1"/>
      <w:sz w:val="18"/>
      <w:szCs w:val="18"/>
    </w:rPr>
  </w:style>
  <w:style w:type="paragraph" w:styleId="735">
    <w:name w:val="annotation text"/>
    <w:basedOn w:val="720"/>
    <w:link w:val="928"/>
    <w:unhideWhenUsed/>
    <w:qFormat/>
  </w:style>
  <w:style w:type="paragraph" w:styleId="736">
    <w:name w:val="Body Text"/>
    <w:basedOn w:val="720"/>
    <w:next w:val="720"/>
    <w:qFormat/>
    <w:rPr>
      <w:rFonts w:ascii="楷体_GB2312" w:hAnsi="Arial" w:eastAsia="楷体_GB2312"/>
      <w:sz w:val="28"/>
      <w:szCs w:val="28"/>
    </w:rPr>
  </w:style>
  <w:style w:type="paragraph" w:styleId="737">
    <w:name w:val="toc 5"/>
    <w:next w:val="720"/>
    <w:uiPriority w:val="39"/>
    <w:unhideWhenUsed/>
    <w:qFormat/>
    <w:pPr>
      <w:ind w:left="1134"/>
      <w:spacing w:after="57"/>
    </w:pPr>
    <w:rPr>
      <w:rFonts w:eastAsiaTheme="minorEastAsia"/>
    </w:rPr>
  </w:style>
  <w:style w:type="paragraph" w:styleId="738">
    <w:name w:val="toc 3"/>
    <w:next w:val="720"/>
    <w:uiPriority w:val="39"/>
    <w:unhideWhenUsed/>
    <w:qFormat/>
    <w:pPr>
      <w:ind w:left="567"/>
      <w:spacing w:after="57"/>
    </w:pPr>
    <w:rPr>
      <w:rFonts w:eastAsiaTheme="minorEastAsia"/>
    </w:rPr>
  </w:style>
  <w:style w:type="paragraph" w:styleId="739">
    <w:name w:val="toc 8"/>
    <w:next w:val="720"/>
    <w:uiPriority w:val="39"/>
    <w:unhideWhenUsed/>
    <w:qFormat/>
    <w:pPr>
      <w:ind w:left="1984"/>
      <w:spacing w:after="57"/>
    </w:pPr>
    <w:rPr>
      <w:rFonts w:eastAsiaTheme="minorEastAsia"/>
    </w:rPr>
  </w:style>
  <w:style w:type="paragraph" w:styleId="740">
    <w:name w:val="endnote text"/>
    <w:link w:val="925"/>
    <w:uiPriority w:val="99"/>
    <w:semiHidden/>
    <w:unhideWhenUsed/>
    <w:qFormat/>
    <w:rPr>
      <w:rFonts w:eastAsiaTheme="minorEastAsia"/>
    </w:rPr>
  </w:style>
  <w:style w:type="paragraph" w:styleId="741">
    <w:name w:val="Balloon Text"/>
    <w:basedOn w:val="720"/>
    <w:link w:val="930"/>
    <w:uiPriority w:val="99"/>
    <w:semiHidden/>
    <w:unhideWhenUsed/>
    <w:qFormat/>
    <w:rPr>
      <w:sz w:val="18"/>
      <w:szCs w:val="18"/>
    </w:rPr>
  </w:style>
  <w:style w:type="paragraph" w:styleId="742">
    <w:name w:val="Footer"/>
    <w:basedOn w:val="720"/>
    <w:link w:val="817"/>
    <w:uiPriority w:val="99"/>
    <w:unhideWhenUsed/>
    <w:qFormat/>
    <w:pPr>
      <w:tabs>
        <w:tab w:val="center" w:pos="7143" w:leader="none"/>
        <w:tab w:val="right" w:pos="14287" w:leader="none"/>
      </w:tabs>
    </w:pPr>
  </w:style>
  <w:style w:type="paragraph" w:styleId="743">
    <w:name w:val="Header"/>
    <w:basedOn w:val="720"/>
    <w:link w:val="815"/>
    <w:uiPriority w:val="99"/>
    <w:unhideWhenUsed/>
    <w:qFormat/>
    <w:pPr>
      <w:tabs>
        <w:tab w:val="center" w:pos="7143" w:leader="none"/>
        <w:tab w:val="right" w:pos="14287" w:leader="none"/>
      </w:tabs>
    </w:pPr>
  </w:style>
  <w:style w:type="paragraph" w:styleId="744">
    <w:name w:val="toc 1"/>
    <w:next w:val="720"/>
    <w:uiPriority w:val="39"/>
    <w:unhideWhenUsed/>
    <w:qFormat/>
    <w:pPr>
      <w:spacing w:after="57"/>
    </w:pPr>
    <w:rPr>
      <w:rFonts w:eastAsiaTheme="minorEastAsia"/>
    </w:rPr>
  </w:style>
  <w:style w:type="paragraph" w:styleId="745">
    <w:name w:val="toc 4"/>
    <w:next w:val="720"/>
    <w:uiPriority w:val="39"/>
    <w:unhideWhenUsed/>
    <w:qFormat/>
    <w:pPr>
      <w:ind w:left="850"/>
      <w:spacing w:after="57"/>
    </w:pPr>
    <w:rPr>
      <w:rFonts w:eastAsiaTheme="minorEastAsia"/>
    </w:rPr>
  </w:style>
  <w:style w:type="paragraph" w:styleId="746">
    <w:name w:val="Subtitle"/>
    <w:link w:val="810"/>
    <w:uiPriority w:val="11"/>
    <w:qFormat/>
    <w:pPr>
      <w:spacing w:before="200" w:after="200"/>
    </w:pPr>
    <w:rPr>
      <w:rFonts w:eastAsiaTheme="minorEastAsia"/>
      <w:sz w:val="24"/>
      <w:szCs w:val="24"/>
    </w:rPr>
  </w:style>
  <w:style w:type="paragraph" w:styleId="747">
    <w:name w:val="footnote text"/>
    <w:link w:val="924"/>
    <w:uiPriority w:val="99"/>
    <w:semiHidden/>
    <w:unhideWhenUsed/>
    <w:qFormat/>
    <w:pPr>
      <w:spacing w:after="40"/>
    </w:pPr>
    <w:rPr>
      <w:rFonts w:eastAsiaTheme="minorEastAsia"/>
      <w:sz w:val="18"/>
    </w:rPr>
  </w:style>
  <w:style w:type="paragraph" w:styleId="748">
    <w:name w:val="toc 6"/>
    <w:next w:val="720"/>
    <w:uiPriority w:val="39"/>
    <w:unhideWhenUsed/>
    <w:qFormat/>
    <w:pPr>
      <w:ind w:left="1417"/>
      <w:spacing w:after="57"/>
    </w:pPr>
    <w:rPr>
      <w:rFonts w:eastAsiaTheme="minorEastAsia"/>
    </w:rPr>
  </w:style>
  <w:style w:type="paragraph" w:styleId="749">
    <w:name w:val="table of figures"/>
    <w:next w:val="720"/>
    <w:uiPriority w:val="99"/>
    <w:unhideWhenUsed/>
    <w:qFormat/>
    <w:rPr>
      <w:rFonts w:eastAsiaTheme="minorEastAsia"/>
    </w:rPr>
  </w:style>
  <w:style w:type="paragraph" w:styleId="750">
    <w:name w:val="toc 2"/>
    <w:next w:val="720"/>
    <w:uiPriority w:val="39"/>
    <w:unhideWhenUsed/>
    <w:qFormat/>
    <w:pPr>
      <w:ind w:left="283"/>
      <w:spacing w:after="57"/>
    </w:pPr>
    <w:rPr>
      <w:rFonts w:eastAsiaTheme="minorEastAsia"/>
    </w:rPr>
  </w:style>
  <w:style w:type="paragraph" w:styleId="751">
    <w:name w:val="toc 9"/>
    <w:next w:val="720"/>
    <w:uiPriority w:val="39"/>
    <w:unhideWhenUsed/>
    <w:qFormat/>
    <w:pPr>
      <w:ind w:left="2268"/>
      <w:spacing w:after="57"/>
    </w:pPr>
    <w:rPr>
      <w:rFonts w:eastAsiaTheme="minorEastAsia"/>
    </w:rPr>
  </w:style>
  <w:style w:type="paragraph" w:styleId="752">
    <w:name w:val="Title"/>
    <w:link w:val="809"/>
    <w:uiPriority w:val="10"/>
    <w:qFormat/>
    <w:pPr>
      <w:contextualSpacing/>
      <w:spacing w:before="300" w:after="200"/>
    </w:pPr>
    <w:rPr>
      <w:rFonts w:eastAsiaTheme="minorEastAsia"/>
      <w:sz w:val="48"/>
      <w:szCs w:val="48"/>
    </w:rPr>
  </w:style>
  <w:style w:type="paragraph" w:styleId="753">
    <w:name w:val="annotation subject"/>
    <w:basedOn w:val="735"/>
    <w:next w:val="735"/>
    <w:link w:val="929"/>
    <w:uiPriority w:val="99"/>
    <w:semiHidden/>
    <w:unhideWhenUsed/>
    <w:qFormat/>
    <w:rPr>
      <w:b/>
      <w:bCs/>
    </w:rPr>
  </w:style>
  <w:style w:type="paragraph" w:styleId="754">
    <w:name w:val="Body Text First Indent"/>
    <w:basedOn w:val="736"/>
    <w:qFormat/>
    <w:pPr>
      <w:ind w:firstLine="420"/>
      <w:spacing w:after="120"/>
    </w:pPr>
    <w:rPr>
      <w:sz w:val="21"/>
      <w:szCs w:val="24"/>
      <w:lang w:val="zh-CN"/>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basedOn w:val="730"/>
    <w:uiPriority w:val="22"/>
    <w:qFormat/>
    <w:rPr>
      <w:b/>
      <w:bCs/>
    </w:r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rPr>
  </w:style>
  <w:style w:type="character" w:styleId="759">
    <w:name w:val="annotation reference"/>
    <w:basedOn w:val="730"/>
    <w:unhideWhenUsed/>
    <w:qFormat/>
    <w:rPr>
      <w:sz w:val="21"/>
      <w:szCs w:val="21"/>
    </w:rPr>
  </w:style>
  <w:style w:type="character" w:styleId="760">
    <w:name w:val="footnote reference"/>
    <w:uiPriority w:val="99"/>
    <w:unhideWhenUsed/>
    <w:qFormat/>
    <w:rPr>
      <w:vertAlign w:val="superscript"/>
    </w:rPr>
  </w:style>
  <w:style w:type="character" w:styleId="761" w:customStyle="1">
    <w:name w:val="Heading 1 Char"/>
    <w:basedOn w:val="730"/>
    <w:uiPriority w:val="9"/>
    <w:qFormat/>
    <w:rPr>
      <w:rFonts w:ascii="Arial" w:hAnsi="Arial" w:eastAsia="Arial" w:cs="Arial"/>
      <w:sz w:val="40"/>
      <w:szCs w:val="40"/>
    </w:rPr>
  </w:style>
  <w:style w:type="character" w:styleId="762" w:customStyle="1">
    <w:name w:val="Heading 2 Char"/>
    <w:basedOn w:val="730"/>
    <w:uiPriority w:val="9"/>
    <w:qFormat/>
    <w:rPr>
      <w:rFonts w:ascii="Arial" w:hAnsi="Arial" w:eastAsia="Arial" w:cs="Arial"/>
      <w:sz w:val="34"/>
    </w:rPr>
  </w:style>
  <w:style w:type="character" w:styleId="763" w:customStyle="1">
    <w:name w:val="Heading 3 Char"/>
    <w:basedOn w:val="730"/>
    <w:uiPriority w:val="9"/>
    <w:qFormat/>
    <w:rPr>
      <w:rFonts w:ascii="Arial" w:hAnsi="Arial" w:eastAsia="Arial" w:cs="Arial"/>
      <w:sz w:val="30"/>
      <w:szCs w:val="30"/>
    </w:rPr>
  </w:style>
  <w:style w:type="character" w:styleId="764" w:customStyle="1">
    <w:name w:val="Heading 4 Char"/>
    <w:basedOn w:val="730"/>
    <w:uiPriority w:val="9"/>
    <w:qFormat/>
    <w:rPr>
      <w:rFonts w:ascii="Arial" w:hAnsi="Arial" w:eastAsia="Arial" w:cs="Arial"/>
      <w:b/>
      <w:bCs/>
      <w:sz w:val="26"/>
      <w:szCs w:val="26"/>
    </w:rPr>
  </w:style>
  <w:style w:type="character" w:styleId="765" w:customStyle="1">
    <w:name w:val="Heading 5 Char"/>
    <w:basedOn w:val="730"/>
    <w:uiPriority w:val="9"/>
    <w:qFormat/>
    <w:rPr>
      <w:rFonts w:ascii="Arial" w:hAnsi="Arial" w:eastAsia="Arial" w:cs="Arial"/>
      <w:b/>
      <w:bCs/>
      <w:sz w:val="24"/>
      <w:szCs w:val="24"/>
    </w:rPr>
  </w:style>
  <w:style w:type="character" w:styleId="766" w:customStyle="1">
    <w:name w:val="Heading 6 Char"/>
    <w:basedOn w:val="730"/>
    <w:uiPriority w:val="9"/>
    <w:qFormat/>
    <w:rPr>
      <w:rFonts w:ascii="Arial" w:hAnsi="Arial" w:eastAsia="Arial" w:cs="Arial"/>
      <w:b/>
      <w:bCs/>
      <w:sz w:val="22"/>
      <w:szCs w:val="22"/>
    </w:rPr>
  </w:style>
  <w:style w:type="character" w:styleId="767" w:customStyle="1">
    <w:name w:val="Heading 7 Char"/>
    <w:basedOn w:val="730"/>
    <w:uiPriority w:val="9"/>
    <w:qFormat/>
    <w:rPr>
      <w:rFonts w:ascii="Arial" w:hAnsi="Arial" w:eastAsia="Arial" w:cs="Arial"/>
      <w:b/>
      <w:bCs/>
      <w:i/>
      <w:iCs/>
      <w:sz w:val="22"/>
      <w:szCs w:val="22"/>
    </w:rPr>
  </w:style>
  <w:style w:type="character" w:styleId="768" w:customStyle="1">
    <w:name w:val="Heading 8 Char"/>
    <w:basedOn w:val="730"/>
    <w:uiPriority w:val="9"/>
    <w:qFormat/>
    <w:rPr>
      <w:rFonts w:ascii="Arial" w:hAnsi="Arial" w:eastAsia="Arial" w:cs="Arial"/>
      <w:i/>
      <w:iCs/>
      <w:sz w:val="22"/>
      <w:szCs w:val="22"/>
    </w:rPr>
  </w:style>
  <w:style w:type="character" w:styleId="769" w:customStyle="1">
    <w:name w:val="Heading 9 Char"/>
    <w:basedOn w:val="730"/>
    <w:uiPriority w:val="9"/>
    <w:qFormat/>
    <w:rPr>
      <w:rFonts w:ascii="Arial" w:hAnsi="Arial" w:eastAsia="Arial" w:cs="Arial"/>
      <w:i/>
      <w:iCs/>
      <w:sz w:val="21"/>
      <w:szCs w:val="21"/>
    </w:rPr>
  </w:style>
  <w:style w:type="character" w:styleId="770" w:customStyle="1">
    <w:name w:val="Title Char"/>
    <w:basedOn w:val="730"/>
    <w:uiPriority w:val="10"/>
    <w:qFormat/>
    <w:rPr>
      <w:sz w:val="48"/>
      <w:szCs w:val="48"/>
    </w:rPr>
  </w:style>
  <w:style w:type="character" w:styleId="771" w:customStyle="1">
    <w:name w:val="Subtitle Char"/>
    <w:basedOn w:val="730"/>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30"/>
    <w:uiPriority w:val="99"/>
    <w:qFormat/>
  </w:style>
  <w:style w:type="character" w:styleId="775" w:customStyle="1">
    <w:name w:val="Caption Char"/>
    <w:uiPriority w:val="99"/>
    <w:qFormat/>
  </w:style>
  <w:style w:type="table" w:styleId="776" w:customStyle="1">
    <w:name w:val="无格式表格 11"/>
    <w:basedOn w:val="73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3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3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3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3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3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3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7" w:customStyle="1">
    <w:name w:val="网格表 7 彩色1"/>
    <w:basedOn w:val="73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3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3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3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3" w:customStyle="1">
    <w:name w:val="清单表 6 彩色1"/>
    <w:basedOn w:val="73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4" w:customStyle="1">
    <w:name w:val="清单表 7 彩色1"/>
    <w:basedOn w:val="73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eastAsiaTheme="minorEastAsia"/>
    </w:rPr>
  </w:style>
  <w:style w:type="character" w:styleId="798" w:customStyle="1">
    <w:name w:val="标题 1 字符"/>
    <w:link w:val="721"/>
    <w:uiPriority w:val="9"/>
    <w:qFormat/>
    <w:rPr>
      <w:rFonts w:ascii="Arial" w:hAnsi="Arial" w:eastAsia="Arial" w:cs="Arial"/>
      <w:sz w:val="40"/>
      <w:szCs w:val="40"/>
    </w:rPr>
  </w:style>
  <w:style w:type="character" w:styleId="799" w:customStyle="1">
    <w:name w:val="标题 2 字符"/>
    <w:link w:val="722"/>
    <w:uiPriority w:val="9"/>
    <w:qFormat/>
    <w:rPr>
      <w:rFonts w:ascii="Arial" w:hAnsi="Arial" w:eastAsia="Arial" w:cs="Arial"/>
      <w:sz w:val="34"/>
    </w:rPr>
  </w:style>
  <w:style w:type="character" w:styleId="800" w:customStyle="1">
    <w:name w:val="标题 3 字符"/>
    <w:link w:val="723"/>
    <w:uiPriority w:val="9"/>
    <w:qFormat/>
    <w:rPr>
      <w:rFonts w:ascii="Arial" w:hAnsi="Arial" w:eastAsia="Arial" w:cs="Arial"/>
      <w:sz w:val="30"/>
      <w:szCs w:val="30"/>
    </w:rPr>
  </w:style>
  <w:style w:type="character" w:styleId="801" w:customStyle="1">
    <w:name w:val="标题 4 字符"/>
    <w:link w:val="724"/>
    <w:uiPriority w:val="9"/>
    <w:qFormat/>
    <w:rPr>
      <w:rFonts w:ascii="Arial" w:hAnsi="Arial" w:eastAsia="Arial" w:cs="Arial"/>
      <w:b/>
      <w:bCs/>
      <w:sz w:val="26"/>
      <w:szCs w:val="26"/>
    </w:rPr>
  </w:style>
  <w:style w:type="character" w:styleId="802" w:customStyle="1">
    <w:name w:val="标题 5 字符"/>
    <w:link w:val="725"/>
    <w:uiPriority w:val="9"/>
    <w:qFormat/>
    <w:rPr>
      <w:rFonts w:ascii="Arial" w:hAnsi="Arial" w:eastAsia="Arial" w:cs="Arial"/>
      <w:b/>
      <w:bCs/>
      <w:sz w:val="24"/>
      <w:szCs w:val="24"/>
    </w:rPr>
  </w:style>
  <w:style w:type="character" w:styleId="803" w:customStyle="1">
    <w:name w:val="标题 6 字符"/>
    <w:link w:val="726"/>
    <w:uiPriority w:val="9"/>
    <w:qFormat/>
    <w:rPr>
      <w:rFonts w:ascii="Arial" w:hAnsi="Arial" w:eastAsia="Arial" w:cs="Arial"/>
      <w:b/>
      <w:bCs/>
      <w:sz w:val="22"/>
      <w:szCs w:val="22"/>
    </w:rPr>
  </w:style>
  <w:style w:type="character" w:styleId="804" w:customStyle="1">
    <w:name w:val="标题 7 字符"/>
    <w:link w:val="727"/>
    <w:uiPriority w:val="9"/>
    <w:qFormat/>
    <w:rPr>
      <w:rFonts w:ascii="Arial" w:hAnsi="Arial" w:eastAsia="Arial" w:cs="Arial"/>
      <w:b/>
      <w:bCs/>
      <w:i/>
      <w:iCs/>
      <w:sz w:val="22"/>
      <w:szCs w:val="22"/>
    </w:rPr>
  </w:style>
  <w:style w:type="character" w:styleId="805" w:customStyle="1">
    <w:name w:val="标题 8 字符"/>
    <w:link w:val="728"/>
    <w:uiPriority w:val="9"/>
    <w:qFormat/>
    <w:rPr>
      <w:rFonts w:ascii="Arial" w:hAnsi="Arial" w:eastAsia="Arial" w:cs="Arial"/>
      <w:i/>
      <w:iCs/>
      <w:sz w:val="22"/>
      <w:szCs w:val="22"/>
    </w:rPr>
  </w:style>
  <w:style w:type="character" w:styleId="806" w:customStyle="1">
    <w:name w:val="标题 9 字符"/>
    <w:link w:val="729"/>
    <w:uiPriority w:val="9"/>
    <w:qFormat/>
    <w:rPr>
      <w:rFonts w:ascii="Arial" w:hAnsi="Arial" w:eastAsia="Arial" w:cs="Arial"/>
      <w:i/>
      <w:iCs/>
      <w:sz w:val="21"/>
      <w:szCs w:val="21"/>
    </w:rPr>
  </w:style>
  <w:style w:type="paragraph" w:styleId="807">
    <w:name w:val="List Paragraph"/>
    <w:uiPriority w:val="34"/>
    <w:qFormat/>
    <w:pPr>
      <w:contextualSpacing/>
      <w:ind w:left="720"/>
    </w:pPr>
    <w:rPr>
      <w:rFonts w:eastAsiaTheme="minorEastAsia"/>
    </w:rPr>
  </w:style>
  <w:style w:type="paragraph" w:styleId="808">
    <w:name w:val="No Spacing"/>
    <w:uiPriority w:val="1"/>
    <w:qFormat/>
    <w:rPr>
      <w:rFonts w:eastAsiaTheme="minorEastAsia"/>
    </w:rPr>
  </w:style>
  <w:style w:type="character" w:styleId="809" w:customStyle="1">
    <w:name w:val="标题 字符"/>
    <w:link w:val="752"/>
    <w:uiPriority w:val="10"/>
    <w:qFormat/>
    <w:rPr>
      <w:sz w:val="48"/>
      <w:szCs w:val="48"/>
    </w:rPr>
  </w:style>
  <w:style w:type="character" w:styleId="810" w:customStyle="1">
    <w:name w:val="副标题 字符"/>
    <w:link w:val="746"/>
    <w:uiPriority w:val="11"/>
    <w:qFormat/>
    <w:rPr>
      <w:sz w:val="24"/>
      <w:szCs w:val="24"/>
    </w:rPr>
  </w:style>
  <w:style w:type="paragraph" w:styleId="811">
    <w:name w:val="Quote"/>
    <w:link w:val="812"/>
    <w:uiPriority w:val="29"/>
    <w:qFormat/>
    <w:pPr>
      <w:ind w:left="720" w:right="720"/>
    </w:pPr>
    <w:rPr>
      <w:rFonts w:eastAsiaTheme="minorEastAsia"/>
      <w:i/>
    </w:rPr>
  </w:style>
  <w:style w:type="character" w:styleId="812" w:customStyle="1">
    <w:name w:val="引用 字符"/>
    <w:link w:val="811"/>
    <w:uiPriority w:val="29"/>
    <w:qFormat/>
    <w:rPr>
      <w:i/>
    </w:rPr>
  </w:style>
  <w:style w:type="paragraph" w:styleId="813">
    <w:name w:val="Intense Quote"/>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Theme="minorEastAsia"/>
      <w:i/>
    </w:rPr>
  </w:style>
  <w:style w:type="character" w:styleId="814" w:customStyle="1">
    <w:name w:val="明显引用 字符"/>
    <w:link w:val="813"/>
    <w:uiPriority w:val="30"/>
    <w:qFormat/>
    <w:rPr>
      <w:i/>
    </w:rPr>
  </w:style>
  <w:style w:type="character" w:styleId="815" w:customStyle="1">
    <w:name w:val="页眉 字符"/>
    <w:link w:val="743"/>
    <w:uiPriority w:val="99"/>
    <w:qFormat/>
  </w:style>
  <w:style w:type="character" w:styleId="816" w:customStyle="1">
    <w:name w:val="Footer Char"/>
    <w:uiPriority w:val="99"/>
    <w:qFormat/>
  </w:style>
  <w:style w:type="character" w:styleId="817" w:customStyle="1">
    <w:name w:val="页脚 字符"/>
    <w:link w:val="742"/>
    <w:uiPriority w:val="99"/>
    <w:qFormat/>
  </w:style>
  <w:style w:type="table" w:styleId="81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47"/>
    <w:uiPriority w:val="99"/>
    <w:qFormat/>
    <w:rPr>
      <w:sz w:val="18"/>
    </w:rPr>
  </w:style>
  <w:style w:type="character" w:styleId="925" w:customStyle="1">
    <w:name w:val="尾注文本 字符"/>
    <w:link w:val="740"/>
    <w:uiPriority w:val="99"/>
    <w:qFormat/>
    <w:rPr>
      <w:sz w:val="20"/>
    </w:rPr>
  </w:style>
  <w:style w:type="paragraph" w:styleId="926" w:customStyle="1">
    <w:name w:val="TOC 标题11"/>
    <w:uiPriority w:val="39"/>
    <w:unhideWhenUsed/>
    <w:qFormat/>
    <w:rPr>
      <w:rFonts w:eastAsiaTheme="minorEastAsia"/>
    </w:rPr>
  </w:style>
  <w:style w:type="paragraph" w:styleId="927" w:customStyle="1">
    <w:name w:val="修订1"/>
    <w:hidden/>
    <w:uiPriority w:val="99"/>
    <w:semiHidden/>
    <w:qFormat/>
    <w:rPr>
      <w:rFonts w:eastAsiaTheme="minorEastAsia"/>
    </w:rPr>
  </w:style>
  <w:style w:type="character" w:styleId="928" w:customStyle="1">
    <w:name w:val="批注文字 字符"/>
    <w:basedOn w:val="730"/>
    <w:link w:val="735"/>
    <w:qFormat/>
  </w:style>
  <w:style w:type="character" w:styleId="929" w:customStyle="1">
    <w:name w:val="批注主题 字符"/>
    <w:basedOn w:val="928"/>
    <w:link w:val="753"/>
    <w:uiPriority w:val="99"/>
    <w:semiHidden/>
    <w:qFormat/>
    <w:rPr>
      <w:b/>
      <w:bCs/>
    </w:rPr>
  </w:style>
  <w:style w:type="character" w:styleId="930" w:customStyle="1">
    <w:name w:val="批注框文本 字符"/>
    <w:basedOn w:val="730"/>
    <w:link w:val="741"/>
    <w:uiPriority w:val="99"/>
    <w:semiHidden/>
    <w:qFormat/>
    <w:rPr>
      <w:sz w:val="18"/>
      <w:szCs w:val="18"/>
    </w:rPr>
  </w:style>
  <w:style w:type="paragraph" w:styleId="931" w:customStyle="1">
    <w:name w:val="修订2"/>
    <w:hidden/>
    <w:uiPriority w:val="99"/>
    <w:unhideWhenUsed/>
    <w:qFormat/>
    <w:rPr>
      <w:rFonts w:eastAsiaTheme="minorEastAsia"/>
    </w:rPr>
  </w:style>
  <w:style w:type="paragraph" w:styleId="932" w:customStyle="1">
    <w:name w:val="修订3"/>
    <w:hidden/>
    <w:uiPriority w:val="99"/>
    <w:semiHidden/>
    <w:qFormat/>
    <w:rPr>
      <w:rFonts w:eastAsiaTheme="minorEastAsia"/>
    </w:rPr>
  </w:style>
  <w:style w:type="paragraph" w:styleId="933" w:customStyle="1">
    <w:name w:val="普通正文"/>
    <w:basedOn w:val="720"/>
    <w:qFormat/>
    <w:pPr>
      <w:ind w:firstLine="480"/>
      <w:spacing w:before="120" w:after="120" w:line="360" w:lineRule="auto"/>
    </w:pPr>
    <w:rPr>
      <w:rFonts w:ascii="Arial" w:hAnsi="Arial"/>
      <w:szCs w:val="24"/>
    </w:rPr>
  </w:style>
  <w:style w:type="paragraph" w:styleId="934" w:customStyle="1">
    <w:name w:val="_Style 226"/>
    <w:basedOn w:val="721"/>
    <w:next w:val="720"/>
    <w:qFormat/>
    <w:pPr>
      <w:spacing w:line="276" w:lineRule="auto"/>
      <w:outlineLvl w:val="9"/>
    </w:pPr>
    <w:rPr>
      <w:rFonts w:ascii="Cambria" w:hAnsi="Cambria" w:eastAsia="宋体"/>
      <w:bCs/>
      <w:color w:val="365f91"/>
    </w:rPr>
  </w:style>
  <w:style w:type="paragraph" w:styleId="935" w:customStyle="1">
    <w:name w:val="修订4"/>
    <w:hidden/>
    <w:uiPriority w:val="99"/>
    <w:semiHidden/>
    <w:qFormat/>
    <w:rPr>
      <w:rFonts w:eastAsiaTheme="minorEastAsia"/>
    </w:rPr>
  </w:style>
  <w:style w:type="paragraph" w:styleId="936" w:customStyle="1">
    <w:name w:val="修订5"/>
    <w:hidden/>
    <w:uiPriority w:val="99"/>
    <w:unhideWhenUsed/>
    <w:qFormat/>
    <w:rPr>
      <w:rFonts w:eastAsiaTheme="minorEastAsia"/>
    </w:rPr>
  </w:style>
  <w:style w:type="paragraph" w:styleId="937" w:customStyle="1">
    <w:name w:val="修订6"/>
    <w:hidden/>
    <w:uiPriority w:val="99"/>
    <w:semiHidden/>
    <w:qFormat/>
    <w:rPr>
      <w:rFonts w:eastAsiaTheme="minorEastAsia"/>
    </w:rPr>
  </w:style>
  <w:style w:type="paragraph" w:styleId="938" w:customStyle="1">
    <w:name w:val="修订7"/>
    <w:hidden/>
    <w:uiPriority w:val="99"/>
    <w:semiHidden/>
    <w:qFormat/>
    <w:rPr>
      <w:rFonts w:eastAsiaTheme="minorEastAsia"/>
    </w:rPr>
  </w:style>
  <w:style w:type="paragraph" w:styleId="939" w:customStyle="1">
    <w:name w:val="修订8"/>
    <w:hidden/>
    <w:uiPriority w:val="99"/>
    <w:semiHidden/>
    <w:qFormat/>
    <w:rPr>
      <w:rFonts w:eastAsiaTheme="minorEastAsia"/>
    </w:rPr>
  </w:style>
  <w:style w:type="paragraph" w:styleId="940" w:customStyle="1">
    <w:name w:val="修订9"/>
    <w:hidden/>
    <w:uiPriority w:val="99"/>
    <w:semiHidden/>
    <w:qFormat/>
    <w:rPr>
      <w:rFonts w:eastAsiaTheme="minorEastAsia"/>
    </w:rPr>
  </w:style>
  <w:style w:type="paragraph" w:styleId="941" w:customStyle="1">
    <w:name w:val="修订10"/>
    <w:hidden/>
    <w:uiPriority w:val="99"/>
    <w:semiHidden/>
    <w:rPr>
      <w:rFonts w:eastAsiaTheme="minorEastAsi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54F7C-45FA-4F28-A367-B8306E19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5</cp:revision>
  <dcterms:created xsi:type="dcterms:W3CDTF">2025-11-29T07:44:00Z</dcterms:created>
  <dcterms:modified xsi:type="dcterms:W3CDTF">2025-12-01T03:32:55Z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97027B0E0CF2498A84F93F3F241E1BF2_13</vt:lpwstr>
  </property>
  <property fmtid="{D5CDD505-2E9C-101B-9397-08002B2CF9AE}" pid="4" name="KSOTemplateDocerSaveRecord">
    <vt:lpwstr>eyJoZGlkIjoiODBlZTZhZTVlMmQ0ZWFkNmNkNzU4N2FmODE3ZTRjN2IiLCJ1c2VySWQiOiIyNTA0NDAyNzQifQ==</vt:lpwstr>
  </property>
</Properties>
</file>